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方正小标宋简体" w:asciiTheme="majorEastAsia" w:hAnsiTheme="majorEastAsia" w:eastAsiaTheme="majorEastAsia"/>
          <w:b/>
          <w:sz w:val="36"/>
          <w:szCs w:val="36"/>
        </w:rPr>
      </w:pPr>
      <w:r>
        <w:rPr>
          <w:rFonts w:hint="eastAsia" w:cs="方正小标宋简体" w:asciiTheme="majorEastAsia" w:hAnsiTheme="majorEastAsia" w:eastAsiaTheme="majorEastAsia"/>
          <w:b/>
          <w:sz w:val="36"/>
          <w:szCs w:val="36"/>
          <w:lang w:val="en-US" w:eastAsia="zh-CN"/>
        </w:rPr>
        <w:t xml:space="preserve"> </w:t>
      </w:r>
      <w:r>
        <w:rPr>
          <w:rFonts w:hint="eastAsia" w:cs="方正小标宋简体" w:asciiTheme="majorEastAsia" w:hAnsiTheme="majorEastAsia" w:eastAsiaTheme="majorEastAsia"/>
          <w:b/>
          <w:sz w:val="36"/>
          <w:szCs w:val="36"/>
        </w:rPr>
        <w:t>饶阳县</w:t>
      </w:r>
      <w:r>
        <w:rPr>
          <w:rFonts w:hint="eastAsia" w:cs="方正小标宋简体" w:asciiTheme="majorEastAsia" w:hAnsiTheme="majorEastAsia" w:eastAsiaTheme="majorEastAsia"/>
          <w:b/>
          <w:sz w:val="36"/>
          <w:szCs w:val="36"/>
          <w:lang w:eastAsia="zh-CN"/>
        </w:rPr>
        <w:t>留楚乡人民政府2020</w:t>
      </w:r>
      <w:r>
        <w:rPr>
          <w:rFonts w:hint="eastAsia" w:cs="方正小标宋简体" w:asciiTheme="majorEastAsia" w:hAnsiTheme="majorEastAsia" w:eastAsiaTheme="majorEastAsia"/>
          <w:b/>
          <w:sz w:val="36"/>
          <w:szCs w:val="36"/>
        </w:rPr>
        <w:t>年部门预算信息公开</w:t>
      </w:r>
    </w:p>
    <w:p>
      <w:pPr>
        <w:ind w:firstLine="640" w:firstLineChars="200"/>
        <w:rPr>
          <w:rFonts w:hint="eastAsia" w:ascii="仿宋_GB2312" w:hAnsi="楷体" w:cs="楷体"/>
          <w:bCs/>
        </w:rPr>
      </w:pPr>
      <w:r>
        <w:rPr>
          <w:rFonts w:hint="eastAsia" w:ascii="仿宋_GB2312" w:hAnsi="楷体" w:cs="楷体"/>
          <w:bCs/>
        </w:rPr>
        <w:t>按照《中华人民共和国预算法》、《中共河北省委办公厅河北省人民政府办公厅印发〈关于进一步推进预算公开工作的实施意见〉的通知》和《河北省预决算公开操作规程实施细则》规定。</w:t>
      </w:r>
      <w:r>
        <w:rPr>
          <w:rFonts w:ascii="仿宋_GB2312" w:hAnsi="楷体" w:cs="楷体"/>
          <w:bCs/>
        </w:rPr>
        <w:t>现将</w:t>
      </w:r>
      <w:r>
        <w:rPr>
          <w:rFonts w:hint="eastAsia" w:ascii="仿宋_GB2312" w:hAnsi="楷体" w:cs="楷体"/>
          <w:bCs/>
        </w:rPr>
        <w:t>饶阳</w:t>
      </w:r>
      <w:r>
        <w:rPr>
          <w:rFonts w:hint="eastAsia" w:ascii="仿宋_GB2312" w:hAnsi="楷体" w:cs="楷体"/>
          <w:bCs/>
          <w:lang w:eastAsia="zh-CN"/>
        </w:rPr>
        <w:t>县留楚乡人民政府2020</w:t>
      </w:r>
      <w:r>
        <w:rPr>
          <w:rFonts w:ascii="仿宋_GB2312" w:hAnsi="楷体" w:cs="楷体"/>
          <w:bCs/>
        </w:rPr>
        <w:t>年部门预算公开如下</w:t>
      </w:r>
      <w:r>
        <w:rPr>
          <w:rFonts w:hint="eastAsia" w:ascii="仿宋_GB2312" w:hAnsi="楷体" w:cs="楷体"/>
          <w:bCs/>
        </w:rPr>
        <w:t>:</w:t>
      </w:r>
    </w:p>
    <w:p>
      <w:pPr>
        <w:ind w:firstLine="643" w:firstLineChars="200"/>
        <w:rPr>
          <w:rFonts w:ascii="仿宋_GB2312" w:hAnsi="楷体" w:cs="Times New Roman"/>
          <w:b/>
          <w:bCs/>
        </w:rPr>
      </w:pPr>
      <w:r>
        <w:rPr>
          <w:rFonts w:hint="eastAsia" w:ascii="仿宋_GB2312" w:hAnsi="楷体" w:cs="楷体"/>
          <w:b/>
          <w:bCs/>
        </w:rPr>
        <w:t>（一）饶阳县</w:t>
      </w:r>
      <w:r>
        <w:rPr>
          <w:rFonts w:hint="eastAsia" w:ascii="仿宋_GB2312" w:hAnsi="楷体" w:cs="楷体"/>
          <w:bCs/>
          <w:lang w:eastAsia="zh-CN"/>
        </w:rPr>
        <w:t>留楚乡人民政府</w:t>
      </w:r>
      <w:r>
        <w:rPr>
          <w:rFonts w:hint="eastAsia" w:ascii="仿宋_GB2312" w:hAnsi="楷体" w:cs="楷体"/>
          <w:b/>
          <w:bCs/>
          <w:lang w:eastAsia="zh-CN"/>
        </w:rPr>
        <w:t>2020</w:t>
      </w:r>
      <w:r>
        <w:rPr>
          <w:rFonts w:hint="eastAsia" w:ascii="仿宋_GB2312" w:hAnsi="楷体" w:cs="楷体"/>
          <w:b/>
          <w:bCs/>
        </w:rPr>
        <w:t xml:space="preserve">年部门预算信息公开 </w:t>
      </w:r>
    </w:p>
    <w:p>
      <w:pPr>
        <w:ind w:firstLine="643" w:firstLineChars="200"/>
        <w:rPr>
          <w:rFonts w:hint="eastAsia" w:ascii="仿宋_GB2312" w:cs="Times New Roman"/>
          <w:b/>
          <w:bCs/>
        </w:rPr>
      </w:pPr>
      <w:r>
        <w:rPr>
          <w:rFonts w:hint="eastAsia" w:ascii="仿宋_GB2312"/>
          <w:b/>
          <w:bCs/>
        </w:rPr>
        <w:t>1</w:t>
      </w:r>
      <w:r>
        <w:rPr>
          <w:rFonts w:hint="eastAsia" w:ascii="仿宋_GB2312" w:cs="仿宋_GB2312"/>
          <w:b/>
          <w:bCs/>
        </w:rPr>
        <w:t>、部门职责及机构设置情况</w:t>
      </w:r>
    </w:p>
    <w:p>
      <w:pPr>
        <w:ind w:firstLine="643" w:firstLineChars="200"/>
        <w:rPr>
          <w:rFonts w:hint="eastAsia" w:ascii="仿宋_GB2312" w:cs="仿宋_GB2312"/>
          <w:b/>
          <w:bCs/>
        </w:rPr>
      </w:pPr>
      <w:r>
        <w:rPr>
          <w:rFonts w:hint="eastAsia" w:ascii="仿宋_GB2312" w:cs="仿宋_GB2312"/>
          <w:b/>
          <w:bCs/>
        </w:rPr>
        <w:t>部门职责</w:t>
      </w:r>
    </w:p>
    <w:p>
      <w:pPr>
        <w:spacing w:line="540" w:lineRule="exact"/>
        <w:ind w:firstLine="640" w:firstLineChars="200"/>
        <w:jc w:val="left"/>
        <w:outlineLvl w:val="1"/>
        <w:rPr>
          <w:rFonts w:ascii="仿宋_GB2312" w:hAnsi="仿宋_GB2312"/>
          <w:color w:val="auto"/>
          <w:highlight w:val="none"/>
        </w:rPr>
      </w:pPr>
      <w:r>
        <w:rPr>
          <w:rFonts w:hint="eastAsia" w:ascii="仿宋_GB2312" w:hAnsi="楷体" w:cs="楷体"/>
          <w:bCs/>
          <w:color w:val="auto"/>
          <w:highlight w:val="none"/>
          <w:lang w:val="en-US" w:eastAsia="zh-CN"/>
        </w:rPr>
        <w:t>留楚乡人民政府</w:t>
      </w:r>
      <w:r>
        <w:rPr>
          <w:rFonts w:hint="eastAsia" w:ascii="仿宋_GB2312" w:hAnsi="仿宋_GB2312"/>
          <w:color w:val="auto"/>
          <w:highlight w:val="none"/>
        </w:rPr>
        <w:t>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r>
        <w:rPr>
          <w:rFonts w:hint="eastAsia" w:ascii="仿宋_GB2312" w:hAnsi="仿宋_GB2312"/>
          <w:color w:val="auto"/>
          <w:highlight w:val="none"/>
          <w:lang w:eastAsia="zh-CN"/>
        </w:rPr>
        <w:t>，</w:t>
      </w:r>
      <w:r>
        <w:rPr>
          <w:rFonts w:hint="eastAsia" w:ascii="仿宋_GB2312" w:hAnsi="仿宋_GB2312"/>
          <w:color w:val="auto"/>
          <w:highlight w:val="none"/>
        </w:rPr>
        <w:t>保护社会主义的全民所有的财产和劳动群众集体所有的财产,保护公民私人所有的合法财产,维护社会秩序,保障公民的人身权利、民主权利和其他权利。</w:t>
      </w:r>
    </w:p>
    <w:p>
      <w:pPr>
        <w:spacing w:line="540" w:lineRule="exact"/>
        <w:jc w:val="left"/>
        <w:outlineLvl w:val="1"/>
        <w:rPr>
          <w:rFonts w:ascii="仿宋_GB2312" w:hAnsi="宋体"/>
          <w:b/>
          <w:color w:val="auto"/>
          <w:highlight w:val="none"/>
        </w:rPr>
      </w:pPr>
    </w:p>
    <w:p>
      <w:pPr>
        <w:spacing w:line="540" w:lineRule="exact"/>
        <w:ind w:firstLine="640" w:firstLineChars="200"/>
        <w:jc w:val="left"/>
        <w:outlineLvl w:val="1"/>
        <w:rPr>
          <w:rFonts w:ascii="仿宋_GB2312" w:hAnsi="仿宋_GB2312"/>
        </w:rPr>
      </w:pPr>
    </w:p>
    <w:p>
      <w:pPr>
        <w:spacing w:line="540" w:lineRule="exact"/>
        <w:jc w:val="left"/>
        <w:outlineLvl w:val="1"/>
        <w:rPr>
          <w:rFonts w:ascii="仿宋_GB2312" w:hAnsi="仿宋_GB2312"/>
        </w:rPr>
      </w:pPr>
    </w:p>
    <w:p>
      <w:pPr>
        <w:spacing w:line="540" w:lineRule="exact"/>
        <w:ind w:firstLine="640" w:firstLineChars="200"/>
        <w:jc w:val="left"/>
        <w:outlineLvl w:val="1"/>
        <w:rPr>
          <w:rFonts w:ascii="仿宋_GB2312" w:hAnsi="仿宋_GB2312"/>
        </w:rPr>
      </w:pPr>
    </w:p>
    <w:p>
      <w:pPr>
        <w:spacing w:line="540" w:lineRule="exact"/>
        <w:ind w:firstLine="643" w:firstLineChars="200"/>
        <w:jc w:val="left"/>
        <w:outlineLvl w:val="1"/>
        <w:rPr>
          <w:rFonts w:ascii="仿宋_GB2312" w:hAnsi="宋体"/>
          <w:b/>
        </w:rPr>
      </w:pPr>
    </w:p>
    <w:p>
      <w:pPr>
        <w:spacing w:line="540" w:lineRule="exact"/>
        <w:ind w:firstLine="643" w:firstLineChars="200"/>
        <w:jc w:val="left"/>
        <w:outlineLvl w:val="1"/>
        <w:rPr>
          <w:rFonts w:ascii="仿宋_GB2312" w:hAnsi="宋体"/>
          <w:b/>
        </w:rPr>
      </w:pPr>
    </w:p>
    <w:p>
      <w:pPr>
        <w:ind w:firstLine="643" w:firstLineChars="200"/>
        <w:rPr>
          <w:rFonts w:hint="eastAsia" w:ascii="仿宋_GB2312" w:cs="仿宋_GB2312"/>
          <w:b/>
          <w:bCs/>
        </w:rPr>
      </w:pPr>
      <w:r>
        <w:rPr>
          <w:rFonts w:hint="eastAsia" w:ascii="仿宋_GB2312" w:cs="仿宋_GB2312"/>
          <w:b/>
          <w:bCs/>
        </w:rPr>
        <w:t>机构设置情况</w:t>
      </w:r>
    </w:p>
    <w:p>
      <w:pPr>
        <w:jc w:val="center"/>
        <w:outlineLvl w:val="0"/>
        <w:rPr>
          <w:rFonts w:hint="eastAsia" w:ascii="方正小标宋_GBK" w:eastAsia="方正小标宋_GBK"/>
        </w:rPr>
      </w:pPr>
      <w:bookmarkStart w:id="0" w:name="_Toc508098008"/>
      <w:r>
        <w:rPr>
          <w:rFonts w:hint="eastAsia" w:ascii="方正小标宋_GBK" w:eastAsia="方正小标宋_GBK"/>
        </w:rPr>
        <w:t>部门基本情况表</w:t>
      </w:r>
      <w:bookmarkEnd w:id="0"/>
    </w:p>
    <w:tbl>
      <w:tblPr>
        <w:tblStyle w:val="5"/>
        <w:tblW w:w="14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7"/>
        <w:gridCol w:w="1134"/>
        <w:gridCol w:w="1276"/>
        <w:gridCol w:w="2353"/>
        <w:gridCol w:w="709"/>
        <w:gridCol w:w="709"/>
        <w:gridCol w:w="709"/>
        <w:gridCol w:w="709"/>
        <w:gridCol w:w="709"/>
        <w:gridCol w:w="709"/>
        <w:gridCol w:w="709"/>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00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sz w:val="24"/>
                <w:lang w:eastAsia="zh-CN"/>
              </w:rPr>
            </w:pPr>
            <w:r>
              <w:rPr>
                <w:rFonts w:hint="eastAsia" w:ascii="方正小标宋_GBK" w:eastAsia="方正小标宋_GBK"/>
                <w:color w:val="auto"/>
                <w:sz w:val="24"/>
                <w:highlight w:val="none"/>
                <w:lang w:eastAsia="zh-CN"/>
              </w:rPr>
              <w:t>[806]留楚乡人民政府</w:t>
            </w:r>
          </w:p>
        </w:tc>
        <w:tc>
          <w:tcPr>
            <w:tcW w:w="425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方正小标宋_GBK" w:eastAsia="方正小标宋_GBK"/>
                <w:sz w:val="24"/>
              </w:rPr>
            </w:pPr>
            <w:r>
              <w:rPr>
                <w:rFonts w:hint="eastAsia" w:ascii="方正小标宋_GBK" w:eastAsia="方正小标宋_GBK"/>
                <w:sz w:val="24"/>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827"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单位名称</w:t>
            </w:r>
          </w:p>
        </w:tc>
        <w:tc>
          <w:tcPr>
            <w:tcW w:w="1134"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单位性质</w:t>
            </w:r>
          </w:p>
        </w:tc>
        <w:tc>
          <w:tcPr>
            <w:tcW w:w="1276"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单位规格</w:t>
            </w:r>
          </w:p>
        </w:tc>
        <w:tc>
          <w:tcPr>
            <w:tcW w:w="2353"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经费保障形式</w:t>
            </w:r>
          </w:p>
        </w:tc>
        <w:tc>
          <w:tcPr>
            <w:tcW w:w="709"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车辆编制数</w:t>
            </w:r>
          </w:p>
        </w:tc>
        <w:tc>
          <w:tcPr>
            <w:tcW w:w="1418" w:type="dxa"/>
            <w:gridSpan w:val="2"/>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编制人数</w:t>
            </w:r>
          </w:p>
        </w:tc>
        <w:tc>
          <w:tcPr>
            <w:tcW w:w="1418" w:type="dxa"/>
            <w:gridSpan w:val="2"/>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在职人数</w:t>
            </w:r>
          </w:p>
        </w:tc>
        <w:tc>
          <w:tcPr>
            <w:tcW w:w="2127" w:type="dxa"/>
            <w:gridSpan w:val="3"/>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827" w:type="dxa"/>
            <w:vMerge w:val="continue"/>
            <w:shd w:val="clear" w:color="auto" w:fill="auto"/>
            <w:vAlign w:val="center"/>
          </w:tcPr>
          <w:p>
            <w:pPr>
              <w:spacing w:line="300" w:lineRule="exact"/>
              <w:jc w:val="left"/>
              <w:outlineLvl w:val="0"/>
              <w:rPr>
                <w:rFonts w:hint="eastAsia"/>
              </w:rPr>
            </w:pPr>
          </w:p>
        </w:tc>
        <w:tc>
          <w:tcPr>
            <w:tcW w:w="1134" w:type="dxa"/>
            <w:vMerge w:val="continue"/>
            <w:shd w:val="clear" w:color="auto" w:fill="auto"/>
            <w:vAlign w:val="center"/>
          </w:tcPr>
          <w:p>
            <w:pPr>
              <w:spacing w:line="300" w:lineRule="exact"/>
              <w:jc w:val="left"/>
              <w:outlineLvl w:val="0"/>
              <w:rPr>
                <w:rFonts w:hint="eastAsia"/>
              </w:rPr>
            </w:pPr>
          </w:p>
        </w:tc>
        <w:tc>
          <w:tcPr>
            <w:tcW w:w="1276" w:type="dxa"/>
            <w:vMerge w:val="continue"/>
            <w:shd w:val="clear" w:color="auto" w:fill="auto"/>
            <w:vAlign w:val="center"/>
          </w:tcPr>
          <w:p>
            <w:pPr>
              <w:spacing w:line="300" w:lineRule="exact"/>
              <w:jc w:val="left"/>
              <w:outlineLvl w:val="0"/>
              <w:rPr>
                <w:rFonts w:hint="eastAsia"/>
              </w:rPr>
            </w:pPr>
          </w:p>
        </w:tc>
        <w:tc>
          <w:tcPr>
            <w:tcW w:w="2353" w:type="dxa"/>
            <w:vMerge w:val="continue"/>
            <w:shd w:val="clear" w:color="auto" w:fill="auto"/>
            <w:vAlign w:val="center"/>
          </w:tcPr>
          <w:p>
            <w:pPr>
              <w:spacing w:line="300" w:lineRule="exact"/>
              <w:jc w:val="left"/>
              <w:outlineLvl w:val="0"/>
              <w:rPr>
                <w:rFonts w:hint="eastAsia"/>
              </w:rPr>
            </w:pPr>
          </w:p>
        </w:tc>
        <w:tc>
          <w:tcPr>
            <w:tcW w:w="709" w:type="dxa"/>
            <w:vMerge w:val="continue"/>
            <w:shd w:val="clear" w:color="auto" w:fill="auto"/>
            <w:vAlign w:val="center"/>
          </w:tcPr>
          <w:p>
            <w:pPr>
              <w:spacing w:line="300" w:lineRule="exact"/>
              <w:jc w:val="left"/>
              <w:outlineLvl w:val="0"/>
              <w:rPr>
                <w:rFonts w:hint="eastAsia"/>
              </w:rPr>
            </w:pP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行政</w:t>
            </w: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事业</w:t>
            </w: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行政</w:t>
            </w: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事业</w:t>
            </w: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离休</w:t>
            </w: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退休</w:t>
            </w: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vAlign w:val="center"/>
          </w:tcPr>
          <w:p>
            <w:pPr>
              <w:spacing w:line="300" w:lineRule="exact"/>
              <w:jc w:val="center"/>
              <w:rPr>
                <w:rFonts w:hint="eastAsia" w:ascii="方正书宋_GBK" w:eastAsia="方正书宋_GBK"/>
                <w:b/>
              </w:rPr>
            </w:pPr>
          </w:p>
        </w:tc>
        <w:tc>
          <w:tcPr>
            <w:tcW w:w="1276" w:type="dxa"/>
            <w:shd w:val="clear" w:color="auto" w:fill="auto"/>
            <w:vAlign w:val="center"/>
          </w:tcPr>
          <w:p>
            <w:pPr>
              <w:spacing w:line="300" w:lineRule="exact"/>
              <w:jc w:val="center"/>
              <w:rPr>
                <w:rFonts w:hint="eastAsia" w:ascii="方正书宋_GBK" w:eastAsia="方正书宋_GBK"/>
                <w:b/>
              </w:rPr>
            </w:pPr>
          </w:p>
        </w:tc>
        <w:tc>
          <w:tcPr>
            <w:tcW w:w="2353" w:type="dxa"/>
            <w:shd w:val="clear" w:color="auto" w:fill="auto"/>
            <w:vAlign w:val="center"/>
          </w:tcPr>
          <w:p>
            <w:pPr>
              <w:spacing w:line="300" w:lineRule="exact"/>
              <w:jc w:val="center"/>
              <w:rPr>
                <w:rFonts w:hint="eastAsia"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lang w:val="en-US" w:eastAsia="zh-CN"/>
              </w:rPr>
            </w:pPr>
            <w:r>
              <w:rPr>
                <w:rFonts w:hint="eastAsia" w:ascii="方正书宋_GBK" w:eastAsia="方正书宋_GBK"/>
                <w:b/>
                <w:lang w:val="en-US" w:eastAsia="zh-CN"/>
              </w:rPr>
              <w:t>3</w:t>
            </w:r>
          </w:p>
        </w:tc>
        <w:tc>
          <w:tcPr>
            <w:tcW w:w="709" w:type="dxa"/>
            <w:shd w:val="clear" w:color="auto" w:fill="auto"/>
            <w:vAlign w:val="center"/>
          </w:tcPr>
          <w:p>
            <w:pPr>
              <w:spacing w:line="300" w:lineRule="exact"/>
              <w:jc w:val="center"/>
              <w:rPr>
                <w:rFonts w:hint="eastAsia" w:ascii="方正书宋_GBK" w:eastAsia="方正书宋_GBK"/>
                <w:b/>
                <w:lang w:val="en-US" w:eastAsia="zh-CN"/>
              </w:rPr>
            </w:pPr>
            <w:r>
              <w:rPr>
                <w:rFonts w:hint="eastAsia" w:ascii="方正书宋_GBK" w:eastAsia="方正书宋_GBK"/>
                <w:b/>
                <w:lang w:val="en-US" w:eastAsia="zh-CN"/>
              </w:rPr>
              <w:t>95</w:t>
            </w:r>
          </w:p>
        </w:tc>
        <w:tc>
          <w:tcPr>
            <w:tcW w:w="709" w:type="dxa"/>
            <w:shd w:val="clear" w:color="auto" w:fill="auto"/>
            <w:vAlign w:val="center"/>
          </w:tcPr>
          <w:p>
            <w:pPr>
              <w:spacing w:line="300" w:lineRule="exact"/>
              <w:jc w:val="center"/>
              <w:rPr>
                <w:rFonts w:hint="eastAsia"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lang w:val="en-US" w:eastAsia="zh-CN"/>
              </w:rPr>
            </w:pPr>
            <w:r>
              <w:rPr>
                <w:rFonts w:hint="eastAsia" w:ascii="方正书宋_GBK" w:eastAsia="方正书宋_GBK"/>
                <w:b/>
                <w:lang w:val="en-US" w:eastAsia="zh-CN"/>
              </w:rPr>
              <w:t>35</w:t>
            </w:r>
          </w:p>
        </w:tc>
        <w:tc>
          <w:tcPr>
            <w:tcW w:w="709" w:type="dxa"/>
            <w:shd w:val="clear" w:color="auto" w:fill="auto"/>
            <w:vAlign w:val="center"/>
          </w:tcPr>
          <w:p>
            <w:pPr>
              <w:spacing w:line="300" w:lineRule="exact"/>
              <w:jc w:val="center"/>
              <w:rPr>
                <w:rFonts w:hint="eastAsia" w:ascii="方正书宋_GBK" w:eastAsia="方正书宋_GBK"/>
                <w:b/>
                <w:lang w:val="en-US" w:eastAsia="zh-CN"/>
              </w:rPr>
            </w:pPr>
            <w:r>
              <w:rPr>
                <w:rFonts w:hint="eastAsia" w:ascii="方正书宋_GBK" w:eastAsia="方正书宋_GBK"/>
                <w:b/>
                <w:lang w:val="en-US" w:eastAsia="zh-CN"/>
              </w:rPr>
              <w:t>60</w:t>
            </w:r>
          </w:p>
        </w:tc>
        <w:tc>
          <w:tcPr>
            <w:tcW w:w="709" w:type="dxa"/>
            <w:shd w:val="clear" w:color="auto" w:fill="auto"/>
            <w:vAlign w:val="center"/>
          </w:tcPr>
          <w:p>
            <w:pPr>
              <w:spacing w:line="300" w:lineRule="exact"/>
              <w:jc w:val="center"/>
              <w:rPr>
                <w:rFonts w:hint="eastAsia"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color w:val="auto"/>
                <w:sz w:val="18"/>
                <w:szCs w:val="20"/>
                <w:highlight w:val="none"/>
              </w:rPr>
              <w:t>留楚乡人民政府</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行政</w:t>
            </w:r>
          </w:p>
        </w:tc>
        <w:tc>
          <w:tcPr>
            <w:tcW w:w="127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正科级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财政拨款</w:t>
            </w:r>
          </w:p>
        </w:tc>
        <w:tc>
          <w:tcPr>
            <w:tcW w:w="709"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3</w:t>
            </w:r>
          </w:p>
        </w:tc>
        <w:tc>
          <w:tcPr>
            <w:tcW w:w="709"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95</w:t>
            </w:r>
          </w:p>
        </w:tc>
        <w:tc>
          <w:tcPr>
            <w:tcW w:w="709" w:type="dxa"/>
            <w:shd w:val="clear" w:color="auto" w:fill="auto"/>
            <w:vAlign w:val="center"/>
          </w:tcPr>
          <w:p>
            <w:pPr>
              <w:spacing w:line="300" w:lineRule="exact"/>
              <w:jc w:val="center"/>
              <w:rPr>
                <w:rFonts w:hint="eastAsia" w:ascii="方正书宋_GBK" w:eastAsia="方正书宋_GBK"/>
                <w:lang w:val="en-US" w:eastAsia="zh-CN"/>
              </w:rPr>
            </w:pPr>
          </w:p>
        </w:tc>
        <w:tc>
          <w:tcPr>
            <w:tcW w:w="709"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35</w:t>
            </w:r>
          </w:p>
        </w:tc>
        <w:tc>
          <w:tcPr>
            <w:tcW w:w="709" w:type="dxa"/>
            <w:shd w:val="clear" w:color="auto" w:fill="auto"/>
            <w:vAlign w:val="center"/>
          </w:tcPr>
          <w:p>
            <w:pPr>
              <w:spacing w:line="300" w:lineRule="exact"/>
              <w:jc w:val="center"/>
              <w:rPr>
                <w:rFonts w:hint="eastAsia" w:ascii="方正书宋_GBK" w:eastAsia="方正书宋_GBK"/>
                <w:lang w:val="en-US" w:eastAsia="zh-CN"/>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auto"/>
                <w:sz w:val="18"/>
                <w:szCs w:val="20"/>
                <w:highlight w:val="none"/>
              </w:rPr>
              <w:t>留楚乡财政所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事业</w:t>
            </w:r>
          </w:p>
        </w:tc>
        <w:tc>
          <w:tcPr>
            <w:tcW w:w="127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正股级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财政性资金基本保证</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auto"/>
                <w:sz w:val="18"/>
                <w:szCs w:val="20"/>
                <w:highlight w:val="none"/>
              </w:rPr>
              <w:t>留楚乡党委</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行政</w:t>
            </w:r>
          </w:p>
        </w:tc>
        <w:tc>
          <w:tcPr>
            <w:tcW w:w="127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正科级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财政拨款</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auto"/>
                <w:sz w:val="18"/>
                <w:szCs w:val="20"/>
                <w:highlight w:val="none"/>
              </w:rPr>
              <w:t>留楚乡人大</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行政</w:t>
            </w:r>
          </w:p>
        </w:tc>
        <w:tc>
          <w:tcPr>
            <w:tcW w:w="127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正科级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财政拨款</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auto"/>
                <w:sz w:val="18"/>
                <w:szCs w:val="20"/>
                <w:highlight w:val="none"/>
              </w:rPr>
              <w:t>留楚乡妇联</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行政</w:t>
            </w:r>
          </w:p>
        </w:tc>
        <w:tc>
          <w:tcPr>
            <w:tcW w:w="1276" w:type="dxa"/>
            <w:shd w:val="clear" w:color="auto" w:fill="auto"/>
            <w:vAlign w:val="top"/>
          </w:tcPr>
          <w:p>
            <w:pPr>
              <w:rPr>
                <w:rFonts w:hint="eastAsia" w:ascii="方正书宋_GBK" w:eastAsia="方正书宋_GBK"/>
              </w:rPr>
            </w:pPr>
            <w:r>
              <w:rPr>
                <w:rFonts w:hint="eastAsia" w:ascii="方正书宋_GBK" w:eastAsia="方正书宋_GBK"/>
                <w:color w:val="auto"/>
                <w:sz w:val="18"/>
                <w:szCs w:val="20"/>
                <w:highlight w:val="none"/>
              </w:rPr>
              <w:t>正股级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财政拨款</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auto"/>
                <w:sz w:val="18"/>
                <w:szCs w:val="20"/>
                <w:highlight w:val="none"/>
              </w:rPr>
              <w:t>留楚乡团委</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事业</w:t>
            </w:r>
          </w:p>
        </w:tc>
        <w:tc>
          <w:tcPr>
            <w:tcW w:w="1276" w:type="dxa"/>
            <w:shd w:val="clear" w:color="auto" w:fill="auto"/>
            <w:vAlign w:val="top"/>
          </w:tcPr>
          <w:p>
            <w:pPr>
              <w:rPr>
                <w:rFonts w:hint="eastAsia" w:ascii="方正书宋_GBK" w:eastAsia="方正书宋_GBK"/>
              </w:rPr>
            </w:pPr>
            <w:r>
              <w:rPr>
                <w:rFonts w:hint="eastAsia" w:ascii="方正书宋_GBK" w:eastAsia="方正书宋_GBK"/>
                <w:color w:val="auto"/>
                <w:sz w:val="18"/>
                <w:szCs w:val="20"/>
                <w:highlight w:val="none"/>
              </w:rPr>
              <w:t>正股级</w:t>
            </w:r>
          </w:p>
        </w:tc>
        <w:tc>
          <w:tcPr>
            <w:tcW w:w="2353" w:type="dxa"/>
            <w:shd w:val="clear" w:color="auto" w:fill="auto"/>
            <w:vAlign w:val="top"/>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财政性资金基本保证</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auto"/>
                <w:sz w:val="18"/>
                <w:szCs w:val="20"/>
                <w:highlight w:val="none"/>
              </w:rPr>
              <w:t>留楚乡司法</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事业</w:t>
            </w:r>
          </w:p>
        </w:tc>
        <w:tc>
          <w:tcPr>
            <w:tcW w:w="1276" w:type="dxa"/>
            <w:shd w:val="clear" w:color="auto" w:fill="auto"/>
            <w:vAlign w:val="top"/>
          </w:tcPr>
          <w:p>
            <w:pPr>
              <w:rPr>
                <w:rFonts w:hint="eastAsia" w:ascii="方正书宋_GBK" w:eastAsia="方正书宋_GBK"/>
              </w:rPr>
            </w:pPr>
            <w:r>
              <w:rPr>
                <w:rFonts w:hint="eastAsia" w:ascii="方正书宋_GBK" w:eastAsia="方正书宋_GBK"/>
                <w:color w:val="auto"/>
                <w:sz w:val="18"/>
                <w:szCs w:val="20"/>
                <w:highlight w:val="none"/>
              </w:rPr>
              <w:t>正股级</w:t>
            </w:r>
          </w:p>
        </w:tc>
        <w:tc>
          <w:tcPr>
            <w:tcW w:w="2353" w:type="dxa"/>
            <w:shd w:val="clear" w:color="auto" w:fill="auto"/>
            <w:vAlign w:val="top"/>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财政性资金基本保证</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auto"/>
                <w:sz w:val="18"/>
                <w:szCs w:val="20"/>
                <w:highlight w:val="none"/>
              </w:rPr>
              <w:t>留楚乡民政所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事业</w:t>
            </w:r>
          </w:p>
        </w:tc>
        <w:tc>
          <w:tcPr>
            <w:tcW w:w="1276" w:type="dxa"/>
            <w:shd w:val="clear" w:color="auto" w:fill="auto"/>
            <w:vAlign w:val="top"/>
          </w:tcPr>
          <w:p>
            <w:pPr>
              <w:rPr>
                <w:rFonts w:hint="eastAsia" w:ascii="方正书宋_GBK" w:eastAsia="方正书宋_GBK"/>
              </w:rPr>
            </w:pPr>
            <w:r>
              <w:rPr>
                <w:rFonts w:hint="eastAsia" w:ascii="方正书宋_GBK" w:eastAsia="方正书宋_GBK"/>
                <w:color w:val="auto"/>
                <w:sz w:val="18"/>
                <w:szCs w:val="20"/>
                <w:highlight w:val="none"/>
              </w:rPr>
              <w:t>正股级</w:t>
            </w:r>
          </w:p>
        </w:tc>
        <w:tc>
          <w:tcPr>
            <w:tcW w:w="2353" w:type="dxa"/>
            <w:shd w:val="clear" w:color="auto" w:fill="auto"/>
            <w:vAlign w:val="top"/>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财政性资金基本保证</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auto"/>
                <w:sz w:val="18"/>
                <w:szCs w:val="20"/>
                <w:highlight w:val="none"/>
              </w:rPr>
              <w:t>留楚乡农业站</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事业</w:t>
            </w:r>
          </w:p>
        </w:tc>
        <w:tc>
          <w:tcPr>
            <w:tcW w:w="1276" w:type="dxa"/>
            <w:shd w:val="clear" w:color="auto" w:fill="auto"/>
            <w:vAlign w:val="top"/>
          </w:tcPr>
          <w:p>
            <w:pPr>
              <w:rPr>
                <w:rFonts w:hint="eastAsia" w:ascii="方正书宋_GBK" w:eastAsia="方正书宋_GBK"/>
              </w:rPr>
            </w:pPr>
            <w:r>
              <w:rPr>
                <w:rFonts w:hint="eastAsia" w:ascii="方正书宋_GBK" w:eastAsia="方正书宋_GBK"/>
                <w:color w:val="auto"/>
                <w:sz w:val="18"/>
                <w:szCs w:val="20"/>
                <w:highlight w:val="none"/>
              </w:rPr>
              <w:t>正股级</w:t>
            </w:r>
          </w:p>
        </w:tc>
        <w:tc>
          <w:tcPr>
            <w:tcW w:w="2353" w:type="dxa"/>
            <w:shd w:val="clear" w:color="auto" w:fill="auto"/>
            <w:vAlign w:val="top"/>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财政性资金基本保证</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auto"/>
                <w:sz w:val="18"/>
                <w:szCs w:val="20"/>
                <w:highlight w:val="none"/>
              </w:rPr>
              <w:t>留楚乡林业站</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事业</w:t>
            </w:r>
          </w:p>
        </w:tc>
        <w:tc>
          <w:tcPr>
            <w:tcW w:w="1276" w:type="dxa"/>
            <w:shd w:val="clear" w:color="auto" w:fill="auto"/>
            <w:vAlign w:val="top"/>
          </w:tcPr>
          <w:p>
            <w:pPr>
              <w:rPr>
                <w:rFonts w:hint="eastAsia" w:ascii="方正书宋_GBK" w:eastAsia="方正书宋_GBK"/>
              </w:rPr>
            </w:pPr>
            <w:r>
              <w:rPr>
                <w:rFonts w:hint="eastAsia" w:ascii="方正书宋_GBK" w:eastAsia="方正书宋_GBK"/>
                <w:color w:val="auto"/>
                <w:sz w:val="18"/>
                <w:szCs w:val="20"/>
                <w:highlight w:val="none"/>
              </w:rPr>
              <w:t>正股级</w:t>
            </w:r>
          </w:p>
        </w:tc>
        <w:tc>
          <w:tcPr>
            <w:tcW w:w="2353" w:type="dxa"/>
            <w:shd w:val="clear" w:color="auto" w:fill="auto"/>
            <w:vAlign w:val="top"/>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财政性资金基本保证</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auto"/>
                <w:sz w:val="18"/>
                <w:szCs w:val="20"/>
                <w:highlight w:val="none"/>
              </w:rPr>
              <w:t>留楚乡水利站</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事业</w:t>
            </w:r>
          </w:p>
        </w:tc>
        <w:tc>
          <w:tcPr>
            <w:tcW w:w="1276" w:type="dxa"/>
            <w:shd w:val="clear" w:color="auto" w:fill="auto"/>
            <w:vAlign w:val="top"/>
          </w:tcPr>
          <w:p>
            <w:pPr>
              <w:rPr>
                <w:rFonts w:hint="eastAsia" w:ascii="方正书宋_GBK" w:eastAsia="方正书宋_GBK"/>
              </w:rPr>
            </w:pPr>
            <w:r>
              <w:rPr>
                <w:rFonts w:hint="eastAsia" w:ascii="方正书宋_GBK" w:eastAsia="方正书宋_GBK"/>
                <w:color w:val="auto"/>
                <w:sz w:val="18"/>
                <w:szCs w:val="20"/>
                <w:highlight w:val="none"/>
              </w:rPr>
              <w:t>正股级</w:t>
            </w:r>
          </w:p>
        </w:tc>
        <w:tc>
          <w:tcPr>
            <w:tcW w:w="2353" w:type="dxa"/>
            <w:shd w:val="clear" w:color="auto" w:fill="auto"/>
            <w:vAlign w:val="top"/>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财政性资金基本保证</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auto"/>
                <w:sz w:val="18"/>
                <w:szCs w:val="20"/>
                <w:highlight w:val="none"/>
              </w:rPr>
              <w:t>留楚乡计生站</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事业</w:t>
            </w:r>
          </w:p>
        </w:tc>
        <w:tc>
          <w:tcPr>
            <w:tcW w:w="1276" w:type="dxa"/>
            <w:shd w:val="clear" w:color="auto" w:fill="auto"/>
            <w:vAlign w:val="top"/>
          </w:tcPr>
          <w:p>
            <w:pPr>
              <w:rPr>
                <w:rFonts w:hint="eastAsia" w:ascii="方正书宋_GBK" w:eastAsia="方正书宋_GBK"/>
              </w:rPr>
            </w:pPr>
            <w:r>
              <w:rPr>
                <w:rFonts w:hint="eastAsia" w:ascii="方正书宋_GBK" w:eastAsia="方正书宋_GBK"/>
                <w:color w:val="auto"/>
                <w:sz w:val="18"/>
                <w:szCs w:val="20"/>
                <w:highlight w:val="none"/>
              </w:rPr>
              <w:t>正股级</w:t>
            </w:r>
          </w:p>
        </w:tc>
        <w:tc>
          <w:tcPr>
            <w:tcW w:w="2353" w:type="dxa"/>
            <w:shd w:val="clear" w:color="auto" w:fill="auto"/>
            <w:vAlign w:val="top"/>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财政性资金基本保证</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auto"/>
                <w:sz w:val="18"/>
                <w:szCs w:val="20"/>
                <w:highlight w:val="none"/>
              </w:rPr>
              <w:t>留楚乡事业</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事业</w:t>
            </w:r>
          </w:p>
        </w:tc>
        <w:tc>
          <w:tcPr>
            <w:tcW w:w="1276" w:type="dxa"/>
            <w:shd w:val="clear" w:color="auto" w:fill="auto"/>
            <w:vAlign w:val="top"/>
          </w:tcPr>
          <w:p>
            <w:pPr>
              <w:rPr>
                <w:rFonts w:hint="eastAsia" w:ascii="方正书宋_GBK" w:eastAsia="方正书宋_GBK"/>
              </w:rPr>
            </w:pPr>
            <w:r>
              <w:rPr>
                <w:rFonts w:hint="eastAsia" w:ascii="方正书宋_GBK" w:eastAsia="方正书宋_GBK"/>
                <w:color w:val="auto"/>
                <w:sz w:val="18"/>
                <w:szCs w:val="20"/>
                <w:highlight w:val="none"/>
              </w:rPr>
              <w:t>正科级</w:t>
            </w:r>
          </w:p>
        </w:tc>
        <w:tc>
          <w:tcPr>
            <w:tcW w:w="2353" w:type="dxa"/>
            <w:shd w:val="clear" w:color="auto" w:fill="auto"/>
            <w:vAlign w:val="top"/>
          </w:tcPr>
          <w:p>
            <w:pPr>
              <w:spacing w:line="300" w:lineRule="exact"/>
              <w:jc w:val="center"/>
              <w:rPr>
                <w:rFonts w:hint="eastAsia" w:ascii="方正书宋_GBK" w:eastAsia="方正书宋_GBK"/>
              </w:rPr>
            </w:pPr>
            <w:r>
              <w:rPr>
                <w:rFonts w:hint="eastAsia" w:ascii="方正书宋_GBK" w:eastAsia="方正书宋_GBK"/>
                <w:color w:val="auto"/>
                <w:sz w:val="18"/>
                <w:szCs w:val="20"/>
                <w:highlight w:val="none"/>
              </w:rPr>
              <w:t>财政性资金基本保证</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60</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r>
    </w:tbl>
    <w:p>
      <w:pPr>
        <w:spacing w:line="300" w:lineRule="exact"/>
        <w:jc w:val="left"/>
        <w:outlineLvl w:val="0"/>
        <w:rPr>
          <w:rFonts w:hint="eastAsia"/>
        </w:rPr>
        <w:sectPr>
          <w:pgSz w:w="16839" w:h="11907" w:orient="landscape"/>
          <w:pgMar w:top="1020" w:right="1361" w:bottom="1020" w:left="1361" w:header="851" w:footer="992" w:gutter="0"/>
          <w:cols w:space="425" w:num="1"/>
          <w:docGrid w:type="lines" w:linePitch="312" w:charSpace="0"/>
        </w:sectPr>
      </w:pPr>
    </w:p>
    <w:p>
      <w:pPr>
        <w:ind w:firstLine="643" w:firstLineChars="200"/>
        <w:rPr>
          <w:rFonts w:hint="eastAsia" w:ascii="仿宋_GB2312" w:cs="仿宋_GB2312"/>
          <w:b/>
          <w:bCs/>
        </w:rPr>
      </w:pPr>
    </w:p>
    <w:p>
      <w:pPr>
        <w:ind w:firstLine="643" w:firstLineChars="200"/>
        <w:rPr>
          <w:rFonts w:hint="eastAsia" w:cs="Times New Roman"/>
          <w:b/>
          <w:bCs/>
        </w:rPr>
      </w:pPr>
    </w:p>
    <w:p>
      <w:pPr>
        <w:numPr>
          <w:ilvl w:val="0"/>
          <w:numId w:val="1"/>
        </w:numPr>
        <w:ind w:firstLine="640" w:firstLineChars="200"/>
        <w:rPr>
          <w:rFonts w:ascii="仿宋_GB2312"/>
          <w:color w:val="auto"/>
          <w:highlight w:val="none"/>
        </w:rPr>
      </w:pPr>
      <w:r>
        <w:rPr>
          <w:rFonts w:hint="eastAsia" w:ascii="仿宋_GB2312"/>
          <w:b w:val="0"/>
          <w:bCs w:val="0"/>
          <w:color w:val="auto"/>
          <w:highlight w:val="none"/>
          <w:lang w:val="en-US" w:eastAsia="zh-CN"/>
        </w:rPr>
        <w:t>留楚乡人民政府</w:t>
      </w:r>
      <w:r>
        <w:rPr>
          <w:rFonts w:ascii="仿宋_GB2312"/>
          <w:b w:val="0"/>
          <w:bCs w:val="0"/>
          <w:color w:val="auto"/>
          <w:highlight w:val="none"/>
        </w:rPr>
        <w:t xml:space="preserve"> </w:t>
      </w:r>
      <w:r>
        <w:rPr>
          <w:rFonts w:hint="eastAsia" w:ascii="仿宋_GB2312"/>
          <w:b w:val="0"/>
          <w:bCs w:val="0"/>
          <w:color w:val="auto"/>
          <w:highlight w:val="none"/>
        </w:rPr>
        <w:t>：</w:t>
      </w:r>
      <w:r>
        <w:rPr>
          <w:rFonts w:hint="eastAsia" w:ascii="仿宋_GB2312"/>
          <w:b w:val="0"/>
          <w:bCs w:val="0"/>
          <w:color w:val="auto"/>
          <w:highlight w:val="none"/>
          <w:lang w:val="en-US" w:eastAsia="zh-CN"/>
        </w:rPr>
        <w:t>制定和组织实施经济、科技和社会发展计划，制定资源开发技术改造和农业结构调整方案，组织指导各部门工作，抓好精神文明建设，丰富群众文化生活，树立社会主义新风尚，完成上级政府交办事项</w:t>
      </w:r>
      <w:r>
        <w:rPr>
          <w:rFonts w:hint="eastAsia" w:ascii="仿宋_GB2312"/>
          <w:color w:val="auto"/>
          <w:highlight w:val="none"/>
        </w:rPr>
        <w:t>。</w:t>
      </w:r>
      <w:r>
        <w:rPr>
          <w:rFonts w:ascii="仿宋_GB2312"/>
          <w:color w:val="auto"/>
          <w:highlight w:val="none"/>
        </w:rPr>
        <w:t xml:space="preserve">  </w:t>
      </w:r>
    </w:p>
    <w:p>
      <w:pPr>
        <w:numPr>
          <w:ilvl w:val="0"/>
          <w:numId w:val="1"/>
        </w:numPr>
        <w:ind w:firstLine="640" w:firstLineChars="200"/>
        <w:rPr>
          <w:rFonts w:hint="eastAsia" w:ascii="仿宋_GB2312"/>
          <w:color w:val="auto"/>
          <w:highlight w:val="none"/>
        </w:rPr>
      </w:pPr>
      <w:r>
        <w:rPr>
          <w:rFonts w:hint="eastAsia" w:ascii="仿宋_GB2312"/>
          <w:color w:val="auto"/>
          <w:highlight w:val="none"/>
          <w:lang w:val="en-US" w:eastAsia="zh-CN"/>
        </w:rPr>
        <w:t>留楚乡人大：负责保护宪法、法律、行政法规和上级人大及其常委会决议的遵守和执行。</w:t>
      </w:r>
    </w:p>
    <w:p>
      <w:pPr>
        <w:numPr>
          <w:ilvl w:val="0"/>
          <w:numId w:val="1"/>
        </w:numPr>
        <w:ind w:firstLine="640" w:firstLineChars="200"/>
        <w:rPr>
          <w:rFonts w:hint="eastAsia" w:ascii="仿宋_GB2312"/>
          <w:color w:val="auto"/>
          <w:highlight w:val="none"/>
        </w:rPr>
      </w:pPr>
      <w:r>
        <w:rPr>
          <w:rFonts w:hint="eastAsia" w:ascii="仿宋_GB2312"/>
          <w:color w:val="auto"/>
          <w:highlight w:val="none"/>
          <w:lang w:val="en-US" w:eastAsia="zh-CN"/>
        </w:rPr>
        <w:t>留楚乡财政所：贯彻有关财政管理方面的工作，管理监督财政收支，预决算报告，各类政策性补贴等资金，提高财政资金使用率。</w:t>
      </w:r>
    </w:p>
    <w:p>
      <w:pPr>
        <w:numPr>
          <w:ilvl w:val="0"/>
          <w:numId w:val="1"/>
        </w:numPr>
        <w:ind w:firstLine="640" w:firstLineChars="200"/>
        <w:rPr>
          <w:rFonts w:hint="eastAsia" w:ascii="仿宋_GB2312"/>
          <w:color w:val="auto"/>
          <w:highlight w:val="none"/>
        </w:rPr>
      </w:pPr>
      <w:r>
        <w:rPr>
          <w:rFonts w:hint="eastAsia" w:ascii="仿宋_GB2312"/>
          <w:color w:val="auto"/>
          <w:highlight w:val="none"/>
          <w:lang w:val="en-US" w:eastAsia="zh-CN"/>
        </w:rPr>
        <w:t>留楚乡计生：宣传计生方针、政策和法律、法规以及上级的有关指示、决定，根据上级要求结合本地实情拟定全乡长期人口规划和年度工作计划。</w:t>
      </w:r>
    </w:p>
    <w:p>
      <w:pPr>
        <w:numPr>
          <w:ilvl w:val="0"/>
          <w:numId w:val="1"/>
        </w:numPr>
        <w:ind w:firstLine="640" w:firstLineChars="200"/>
        <w:rPr>
          <w:rFonts w:hint="eastAsia" w:ascii="仿宋_GB2312"/>
          <w:color w:val="auto"/>
          <w:highlight w:val="none"/>
        </w:rPr>
      </w:pPr>
      <w:r>
        <w:rPr>
          <w:rFonts w:hint="eastAsia" w:ascii="仿宋_GB2312"/>
          <w:color w:val="auto"/>
          <w:highlight w:val="none"/>
          <w:lang w:val="en-US" w:eastAsia="zh-CN"/>
        </w:rPr>
        <w:t>留楚乡党委：贯彻执行党的路线方针政策和上级党组织及本乡党员代表大会的决议，加强乡党委自身建设和以党支部为核心的村级组织建设。</w:t>
      </w:r>
    </w:p>
    <w:p>
      <w:pPr>
        <w:numPr>
          <w:ilvl w:val="0"/>
          <w:numId w:val="1"/>
        </w:numPr>
        <w:ind w:firstLine="640" w:firstLineChars="200"/>
        <w:rPr>
          <w:rFonts w:hint="eastAsia" w:ascii="仿宋_GB2312"/>
          <w:color w:val="auto"/>
          <w:highlight w:val="none"/>
        </w:rPr>
      </w:pPr>
      <w:r>
        <w:rPr>
          <w:rFonts w:hint="eastAsia" w:ascii="仿宋_GB2312"/>
          <w:color w:val="auto"/>
          <w:highlight w:val="none"/>
          <w:lang w:val="en-US" w:eastAsia="zh-CN"/>
        </w:rPr>
        <w:t>留楚乡团委：贯彻落实党、团组织的各项方针、政策、团结、教育和引导青年在建设有中国特色社会主义道路中成长，抓好团组织建设，指导帮助青少年组织开展工作。</w:t>
      </w:r>
    </w:p>
    <w:p>
      <w:pPr>
        <w:numPr>
          <w:ilvl w:val="0"/>
          <w:numId w:val="1"/>
        </w:numPr>
        <w:ind w:firstLine="640" w:firstLineChars="200"/>
        <w:rPr>
          <w:rFonts w:hint="eastAsia" w:ascii="仿宋_GB2312"/>
          <w:color w:val="auto"/>
          <w:highlight w:val="none"/>
        </w:rPr>
      </w:pPr>
      <w:r>
        <w:rPr>
          <w:rFonts w:hint="eastAsia" w:ascii="仿宋_GB2312"/>
          <w:color w:val="auto"/>
          <w:highlight w:val="none"/>
          <w:lang w:val="en-US" w:eastAsia="zh-CN"/>
        </w:rPr>
        <w:t>留楚乡司法所：协助有关部门开展依法治理工作和行政执法检查、监督工作，组织开展普法教育宣传，指导管理人民调解工作.</w:t>
      </w:r>
    </w:p>
    <w:p>
      <w:pPr>
        <w:numPr>
          <w:ilvl w:val="0"/>
          <w:numId w:val="1"/>
        </w:numPr>
        <w:ind w:left="0" w:leftChars="0" w:firstLine="640" w:firstLineChars="200"/>
        <w:rPr>
          <w:rFonts w:ascii="仿宋_GB2312"/>
          <w:color w:val="auto"/>
          <w:highlight w:val="none"/>
        </w:rPr>
      </w:pPr>
      <w:r>
        <w:rPr>
          <w:rFonts w:hint="eastAsia" w:ascii="仿宋_GB2312"/>
          <w:b w:val="0"/>
          <w:bCs w:val="0"/>
          <w:color w:val="auto"/>
          <w:highlight w:val="none"/>
          <w:lang w:val="en-US" w:eastAsia="zh-CN"/>
        </w:rPr>
        <w:t>留楚乡民政所</w:t>
      </w:r>
      <w:r>
        <w:rPr>
          <w:rFonts w:hint="eastAsia" w:ascii="仿宋_GB2312"/>
          <w:b w:val="0"/>
          <w:bCs w:val="0"/>
          <w:color w:val="auto"/>
          <w:highlight w:val="none"/>
        </w:rPr>
        <w:t>：</w:t>
      </w:r>
      <w:r>
        <w:rPr>
          <w:rFonts w:hint="eastAsia" w:ascii="仿宋_GB2312"/>
          <w:color w:val="auto"/>
          <w:highlight w:val="none"/>
          <w:lang w:val="en-US" w:eastAsia="zh-CN"/>
        </w:rPr>
        <w:t>负责救助本镇特困户、受灾户、残疾人及特困高龄老人，发放军烈属、残疾军人,复退军人、原大队干部、义务兵家属优待金、农村特困居民最低生活保障金等各项生活补助,以及救济救灾物款，处理边界纠纷、调解赡养老人纠纷咨询社团登记,老年人优待证、残疾人证代办,弃婴、孤儿收养,婚姻登记,殡葬,村民自治政策法规咨询,残疾人教育就业、残疾人康复等服务工作</w:t>
      </w:r>
      <w:r>
        <w:rPr>
          <w:rFonts w:hint="eastAsia" w:ascii="仿宋_GB2312"/>
          <w:color w:val="auto"/>
          <w:highlight w:val="none"/>
        </w:rPr>
        <w:t>。</w:t>
      </w:r>
      <w:r>
        <w:rPr>
          <w:rFonts w:ascii="仿宋_GB2312"/>
          <w:color w:val="auto"/>
          <w:highlight w:val="none"/>
        </w:rPr>
        <w:t xml:space="preserve">  </w:t>
      </w:r>
    </w:p>
    <w:p>
      <w:pPr>
        <w:numPr>
          <w:ilvl w:val="0"/>
          <w:numId w:val="1"/>
        </w:numPr>
        <w:ind w:left="0" w:leftChars="0" w:firstLine="640" w:firstLineChars="200"/>
        <w:rPr>
          <w:rFonts w:hint="eastAsia" w:ascii="仿宋_GB2312"/>
          <w:color w:val="auto"/>
          <w:highlight w:val="none"/>
        </w:rPr>
      </w:pPr>
      <w:r>
        <w:rPr>
          <w:rFonts w:hint="eastAsia" w:ascii="仿宋_GB2312"/>
          <w:color w:val="auto"/>
          <w:highlight w:val="none"/>
          <w:lang w:val="en-US" w:eastAsia="zh-CN"/>
        </w:rPr>
        <w:t>留楚乡农业：制订农业技术推广计划并组织实施，组织农业技术的专业培训，提供农业技术信息服务，推动农业发展。</w:t>
      </w:r>
    </w:p>
    <w:p>
      <w:pPr>
        <w:numPr>
          <w:ilvl w:val="0"/>
          <w:numId w:val="1"/>
        </w:numPr>
        <w:ind w:left="0" w:leftChars="0" w:firstLine="640" w:firstLineChars="200"/>
        <w:rPr>
          <w:rFonts w:hint="eastAsia" w:ascii="仿宋_GB2312"/>
          <w:color w:val="auto"/>
          <w:highlight w:val="none"/>
        </w:rPr>
      </w:pPr>
      <w:r>
        <w:rPr>
          <w:rFonts w:hint="eastAsia" w:ascii="仿宋_GB2312"/>
          <w:color w:val="auto"/>
          <w:highlight w:val="none"/>
          <w:lang w:val="en-US" w:eastAsia="zh-CN"/>
        </w:rPr>
        <w:t>留楚乡水利：负责实行依法治水、管水和水利工程建设，水资源保护、防洪、节水、水土保持等，监督水资源管理。</w:t>
      </w:r>
    </w:p>
    <w:p>
      <w:pPr>
        <w:numPr>
          <w:ilvl w:val="0"/>
          <w:numId w:val="1"/>
        </w:numPr>
        <w:ind w:left="0" w:leftChars="0" w:firstLine="640" w:firstLineChars="200"/>
        <w:rPr>
          <w:rFonts w:hint="eastAsia" w:ascii="仿宋_GB2312"/>
          <w:color w:val="auto"/>
          <w:highlight w:val="none"/>
        </w:rPr>
      </w:pPr>
      <w:r>
        <w:rPr>
          <w:rFonts w:hint="eastAsia" w:ascii="仿宋_GB2312"/>
          <w:color w:val="auto"/>
          <w:highlight w:val="none"/>
          <w:lang w:val="en-US" w:eastAsia="zh-CN"/>
        </w:rPr>
        <w:t>留楚乡林业：做好森林病虫害预防和防治工作，检查落实防治措施，做好造林规划，施工指导监督，项目验收等工作。</w:t>
      </w:r>
    </w:p>
    <w:p>
      <w:pPr>
        <w:numPr>
          <w:ilvl w:val="0"/>
          <w:numId w:val="1"/>
        </w:numPr>
        <w:ind w:left="0" w:leftChars="0" w:firstLine="640" w:firstLineChars="200"/>
        <w:rPr>
          <w:rFonts w:hint="eastAsia" w:ascii="仿宋_GB2312"/>
          <w:color w:val="auto"/>
          <w:highlight w:val="none"/>
        </w:rPr>
      </w:pPr>
      <w:r>
        <w:rPr>
          <w:rFonts w:hint="eastAsia" w:ascii="仿宋_GB2312"/>
          <w:color w:val="auto"/>
          <w:highlight w:val="none"/>
          <w:lang w:val="en-US" w:eastAsia="zh-CN"/>
        </w:rPr>
        <w:t>留楚乡妇联：团结、动员妇女投身改革，参与经济建设，促进社会发展，教育、引导广大妇女，增强自尊、自信、自立、自强精神，全面提高素质，调解家庭暴力问题。</w:t>
      </w:r>
    </w:p>
    <w:p>
      <w:pPr>
        <w:ind w:firstLine="640" w:firstLineChars="200"/>
        <w:rPr>
          <w:rFonts w:hint="eastAsia" w:ascii="仿宋_GB2312"/>
        </w:rPr>
      </w:pPr>
    </w:p>
    <w:p>
      <w:pPr>
        <w:ind w:firstLine="643" w:firstLineChars="200"/>
        <w:rPr>
          <w:rFonts w:hint="eastAsia" w:ascii="仿宋_GB2312" w:cs="Times New Roman"/>
          <w:b/>
          <w:bCs/>
        </w:rPr>
      </w:pPr>
      <w:r>
        <w:rPr>
          <w:rFonts w:hint="eastAsia" w:ascii="仿宋_GB2312"/>
          <w:b/>
          <w:bCs/>
        </w:rPr>
        <w:t>2</w:t>
      </w:r>
      <w:r>
        <w:rPr>
          <w:rFonts w:hint="eastAsia" w:ascii="仿宋_GB2312" w:cs="仿宋_GB2312"/>
          <w:b/>
          <w:bCs/>
        </w:rPr>
        <w:t>、部门预算安排的总体情况</w:t>
      </w:r>
    </w:p>
    <w:p>
      <w:pPr>
        <w:ind w:firstLine="640" w:firstLineChars="200"/>
        <w:rPr>
          <w:rFonts w:hint="eastAsia" w:ascii="仿宋_GB2312" w:cs="Times New Roman"/>
        </w:rPr>
      </w:pPr>
      <w:r>
        <w:rPr>
          <w:rFonts w:hint="eastAsia" w:ascii="仿宋_GB2312" w:cs="仿宋_GB2312"/>
        </w:rPr>
        <w:t>按照《预算法》等有关预算管理规定，我县县级部门预算实行综合预算管理，机关（及所属事业单位）的收支全部包含在部门预算中。</w:t>
      </w:r>
    </w:p>
    <w:p>
      <w:pPr>
        <w:ind w:firstLine="640" w:firstLineChars="200"/>
        <w:rPr>
          <w:rFonts w:hint="eastAsia" w:ascii="仿宋_GB2312" w:cs="Times New Roman"/>
        </w:rPr>
      </w:pPr>
      <w:r>
        <w:rPr>
          <w:rFonts w:hint="eastAsia" w:ascii="仿宋_GB2312" w:cs="仿宋_GB2312"/>
        </w:rPr>
        <w:t>（</w:t>
      </w:r>
      <w:r>
        <w:rPr>
          <w:rFonts w:hint="eastAsia" w:ascii="仿宋_GB2312"/>
        </w:rPr>
        <w:t>1</w:t>
      </w:r>
      <w:r>
        <w:rPr>
          <w:rFonts w:hint="eastAsia" w:ascii="仿宋_GB2312" w:cs="仿宋_GB2312"/>
        </w:rPr>
        <w:t>）收入说明</w:t>
      </w:r>
    </w:p>
    <w:p>
      <w:pPr>
        <w:ind w:firstLine="640" w:firstLineChars="200"/>
        <w:rPr>
          <w:rFonts w:hint="eastAsia" w:ascii="仿宋_GB2312" w:eastAsia="仿宋_GB2312" w:cs="仿宋_GB2312"/>
          <w:lang w:eastAsia="zh-CN"/>
        </w:rPr>
      </w:pPr>
      <w:r>
        <w:rPr>
          <w:rFonts w:hint="eastAsia" w:ascii="仿宋_GB2312" w:cs="仿宋_GB2312"/>
        </w:rPr>
        <w:t>反映本部门当年收入。</w:t>
      </w:r>
      <w:r>
        <w:rPr>
          <w:rFonts w:hint="eastAsia" w:ascii="仿宋_GB2312"/>
          <w:lang w:eastAsia="zh-CN"/>
        </w:rPr>
        <w:t>2020</w:t>
      </w:r>
      <w:r>
        <w:rPr>
          <w:rFonts w:hint="eastAsia" w:ascii="仿宋_GB2312" w:cs="仿宋_GB2312"/>
        </w:rPr>
        <w:t>年预算收入</w:t>
      </w:r>
      <w:r>
        <w:rPr>
          <w:rFonts w:hint="eastAsia" w:ascii="仿宋_GB2312" w:cs="仿宋_GB2312"/>
          <w:lang w:val="en-US" w:eastAsia="zh-CN"/>
        </w:rPr>
        <w:t>2111.72</w:t>
      </w:r>
      <w:r>
        <w:rPr>
          <w:rFonts w:hint="eastAsia" w:ascii="仿宋_GB2312" w:cs="仿宋_GB2312"/>
        </w:rPr>
        <w:t>万元，其中：一般公共预算收入</w:t>
      </w:r>
      <w:r>
        <w:rPr>
          <w:rFonts w:hint="eastAsia" w:ascii="仿宋_GB2312" w:cs="仿宋_GB2312"/>
          <w:lang w:val="en-US" w:eastAsia="zh-CN"/>
        </w:rPr>
        <w:t>2051.92</w:t>
      </w:r>
      <w:r>
        <w:rPr>
          <w:rFonts w:hint="eastAsia" w:ascii="仿宋_GB2312" w:cs="仿宋_GB2312"/>
        </w:rPr>
        <w:t>万元，政府性基金预算收入</w:t>
      </w:r>
      <w:r>
        <w:rPr>
          <w:rFonts w:hint="eastAsia" w:ascii="仿宋_GB2312" w:cs="仿宋_GB2312"/>
          <w:lang w:val="en-US" w:eastAsia="zh-CN"/>
        </w:rPr>
        <w:t>59.8</w:t>
      </w:r>
      <w:r>
        <w:rPr>
          <w:rFonts w:hint="eastAsia" w:ascii="仿宋_GB2312" w:cs="仿宋_GB2312"/>
        </w:rPr>
        <w:t>万元，财政专户收</w:t>
      </w:r>
      <w:r>
        <w:rPr>
          <w:rFonts w:hint="eastAsia" w:ascii="仿宋_GB2312" w:cs="仿宋_GB2312"/>
          <w:highlight w:val="none"/>
        </w:rPr>
        <w:t>入</w:t>
      </w:r>
      <w:r>
        <w:rPr>
          <w:rFonts w:hint="eastAsia" w:ascii="仿宋_GB2312"/>
          <w:highlight w:val="none"/>
        </w:rPr>
        <w:t>0</w:t>
      </w:r>
      <w:r>
        <w:rPr>
          <w:rFonts w:hint="eastAsia" w:ascii="仿宋_GB2312" w:cs="仿宋_GB2312"/>
          <w:highlight w:val="none"/>
        </w:rPr>
        <w:t>万元，事业收入</w:t>
      </w:r>
      <w:r>
        <w:rPr>
          <w:rFonts w:hint="eastAsia" w:ascii="仿宋_GB2312"/>
          <w:highlight w:val="none"/>
        </w:rPr>
        <w:t>0</w:t>
      </w:r>
      <w:r>
        <w:rPr>
          <w:rFonts w:hint="eastAsia" w:ascii="仿宋_GB2312" w:cs="仿宋_GB2312"/>
          <w:highlight w:val="none"/>
        </w:rPr>
        <w:t>万元，其他收入</w:t>
      </w:r>
      <w:r>
        <w:rPr>
          <w:rFonts w:hint="eastAsia" w:ascii="仿宋_GB2312"/>
          <w:highlight w:val="none"/>
        </w:rPr>
        <w:t>0</w:t>
      </w:r>
      <w:r>
        <w:rPr>
          <w:rFonts w:hint="eastAsia" w:ascii="仿宋_GB2312" w:cs="仿宋_GB2312"/>
          <w:highlight w:val="none"/>
        </w:rPr>
        <w:t>万元</w:t>
      </w:r>
      <w:r>
        <w:rPr>
          <w:rFonts w:hint="eastAsia" w:ascii="仿宋_GB2312" w:cs="仿宋_GB2312"/>
        </w:rPr>
        <w:t>。</w:t>
      </w:r>
      <w:r>
        <w:rPr>
          <w:rFonts w:hint="eastAsia" w:ascii="仿宋_GB2312"/>
          <w:lang w:eastAsia="zh-CN"/>
        </w:rPr>
        <w:t>2019</w:t>
      </w:r>
      <w:r>
        <w:rPr>
          <w:rFonts w:hint="eastAsia" w:ascii="仿宋_GB2312" w:cs="仿宋_GB2312"/>
        </w:rPr>
        <w:t>年预算收入</w:t>
      </w:r>
      <w:r>
        <w:rPr>
          <w:rFonts w:hint="eastAsia" w:ascii="仿宋_GB2312" w:cs="方正书宋_GBK"/>
          <w:color w:val="auto"/>
          <w:highlight w:val="none"/>
        </w:rPr>
        <w:t>3551.2</w:t>
      </w:r>
      <w:r>
        <w:rPr>
          <w:rFonts w:hint="eastAsia" w:ascii="仿宋_GB2312" w:cs="方正书宋_GBK"/>
          <w:color w:val="auto"/>
          <w:highlight w:val="none"/>
          <w:lang w:val="en-US" w:eastAsia="zh-CN"/>
        </w:rPr>
        <w:t>8</w:t>
      </w:r>
      <w:r>
        <w:rPr>
          <w:rFonts w:hint="eastAsia" w:ascii="仿宋_GB2312" w:cs="仿宋_GB2312"/>
        </w:rPr>
        <w:t>万元，其中：</w:t>
      </w:r>
      <w:r>
        <w:rPr>
          <w:rFonts w:hint="eastAsia" w:ascii="仿宋_GB2312" w:cs="仿宋_GB2312"/>
          <w:color w:val="auto"/>
          <w:highlight w:val="none"/>
        </w:rPr>
        <w:t>一般公共预算收入</w:t>
      </w:r>
      <w:r>
        <w:rPr>
          <w:rFonts w:hint="eastAsia" w:ascii="仿宋_GB2312" w:cs="方正书宋_GBK"/>
          <w:color w:val="auto"/>
          <w:highlight w:val="none"/>
        </w:rPr>
        <w:t>1401.2</w:t>
      </w:r>
      <w:r>
        <w:rPr>
          <w:rFonts w:hint="eastAsia" w:ascii="仿宋_GB2312" w:cs="方正书宋_GBK"/>
          <w:color w:val="auto"/>
          <w:highlight w:val="none"/>
          <w:lang w:val="en-US" w:eastAsia="zh-CN"/>
        </w:rPr>
        <w:t>8</w:t>
      </w:r>
      <w:r>
        <w:rPr>
          <w:rFonts w:hint="eastAsia" w:ascii="仿宋_GB2312" w:cs="仿宋_GB2312"/>
          <w:color w:val="auto"/>
          <w:highlight w:val="none"/>
        </w:rPr>
        <w:t>万元，政府性基金预算收入</w:t>
      </w:r>
      <w:r>
        <w:rPr>
          <w:rFonts w:hint="eastAsia" w:ascii="仿宋_GB2312"/>
          <w:color w:val="auto"/>
          <w:highlight w:val="none"/>
        </w:rPr>
        <w:t>2150</w:t>
      </w:r>
      <w:r>
        <w:rPr>
          <w:rFonts w:hint="eastAsia" w:ascii="仿宋_GB2312" w:cs="仿宋_GB2312"/>
          <w:color w:val="auto"/>
          <w:highlight w:val="none"/>
        </w:rPr>
        <w:t>万元</w:t>
      </w:r>
      <w:r>
        <w:rPr>
          <w:rFonts w:hint="eastAsia" w:ascii="仿宋_GB2312" w:cs="仿宋_GB2312"/>
          <w:color w:val="auto"/>
          <w:highlight w:val="none"/>
          <w:lang w:eastAsia="zh-CN"/>
        </w:rPr>
        <w:t>。</w:t>
      </w:r>
      <w:r>
        <w:rPr>
          <w:rFonts w:hint="eastAsia" w:ascii="仿宋_GB2312" w:cs="仿宋_GB2312"/>
          <w:lang w:eastAsia="zh-CN"/>
        </w:rPr>
        <w:t>2020</w:t>
      </w:r>
      <w:r>
        <w:rPr>
          <w:rFonts w:hint="eastAsia" w:ascii="仿宋_GB2312" w:cs="仿宋_GB2312"/>
        </w:rPr>
        <w:t>年比</w:t>
      </w:r>
      <w:r>
        <w:rPr>
          <w:rFonts w:hint="eastAsia" w:ascii="仿宋_GB2312" w:cs="仿宋_GB2312"/>
          <w:lang w:eastAsia="zh-CN"/>
        </w:rPr>
        <w:t>2019</w:t>
      </w:r>
      <w:r>
        <w:rPr>
          <w:rFonts w:hint="eastAsia" w:ascii="仿宋_GB2312" w:cs="仿宋_GB2312"/>
        </w:rPr>
        <w:t>年</w:t>
      </w:r>
      <w:r>
        <w:rPr>
          <w:rFonts w:hint="eastAsia" w:ascii="仿宋_GB2312" w:cs="仿宋_GB2312"/>
          <w:lang w:eastAsia="zh-CN"/>
        </w:rPr>
        <w:t>减少</w:t>
      </w:r>
      <w:r>
        <w:rPr>
          <w:rFonts w:hint="eastAsia" w:ascii="仿宋_GB2312" w:cs="仿宋_GB2312"/>
          <w:lang w:val="en-US" w:eastAsia="zh-CN"/>
        </w:rPr>
        <w:t>1439.56</w:t>
      </w:r>
      <w:r>
        <w:rPr>
          <w:rFonts w:hint="eastAsia" w:ascii="仿宋_GB2312" w:cs="仿宋_GB2312"/>
        </w:rPr>
        <w:t>万元，</w:t>
      </w:r>
      <w:r>
        <w:rPr>
          <w:rFonts w:hint="eastAsia" w:ascii="仿宋_GB2312" w:cs="仿宋_GB2312"/>
          <w:lang w:eastAsia="zh-CN"/>
        </w:rPr>
        <w:t>减少</w:t>
      </w:r>
      <w:r>
        <w:rPr>
          <w:rFonts w:hint="eastAsia" w:ascii="仿宋_GB2312" w:cs="仿宋_GB2312"/>
          <w:lang w:val="en-US" w:eastAsia="zh-CN"/>
        </w:rPr>
        <w:t>40.54%</w:t>
      </w:r>
      <w:r>
        <w:rPr>
          <w:rFonts w:hint="eastAsia" w:ascii="仿宋_GB2312" w:cs="仿宋_GB2312"/>
        </w:rPr>
        <w:t>，</w:t>
      </w:r>
      <w:r>
        <w:rPr>
          <w:rFonts w:hint="eastAsia" w:ascii="仿宋_GB2312" w:hAnsi="仿宋" w:cs="宋体"/>
          <w:color w:val="000000"/>
        </w:rPr>
        <w:t>主要</w:t>
      </w:r>
      <w:r>
        <w:rPr>
          <w:rFonts w:hint="eastAsia" w:ascii="仿宋_GB2312" w:hAnsi="仿宋"/>
        </w:rPr>
        <w:t>原因是</w:t>
      </w:r>
      <w:r>
        <w:rPr>
          <w:rFonts w:hint="eastAsia" w:ascii="仿宋_GB2312" w:cs="仿宋_GB2312"/>
          <w:color w:val="auto"/>
          <w:highlight w:val="none"/>
        </w:rPr>
        <w:t>政府性基金预算收入</w:t>
      </w:r>
      <w:r>
        <w:rPr>
          <w:rFonts w:hint="eastAsia" w:ascii="仿宋_GB2312" w:cs="仿宋_GB2312"/>
          <w:color w:val="auto"/>
          <w:highlight w:val="none"/>
          <w:lang w:eastAsia="zh-CN"/>
        </w:rPr>
        <w:t>减少。</w:t>
      </w:r>
    </w:p>
    <w:p>
      <w:pPr>
        <w:ind w:firstLine="640" w:firstLineChars="200"/>
        <w:rPr>
          <w:rFonts w:hint="eastAsia" w:ascii="仿宋_GB2312" w:cs="Times New Roman"/>
        </w:rPr>
      </w:pPr>
      <w:r>
        <w:rPr>
          <w:rFonts w:hint="eastAsia" w:ascii="仿宋_GB2312" w:cs="仿宋_GB2312"/>
        </w:rPr>
        <w:t>（</w:t>
      </w:r>
      <w:r>
        <w:rPr>
          <w:rFonts w:hint="eastAsia" w:ascii="仿宋_GB2312"/>
        </w:rPr>
        <w:t>2</w:t>
      </w:r>
      <w:r>
        <w:rPr>
          <w:rFonts w:hint="eastAsia" w:ascii="仿宋_GB2312" w:cs="仿宋_GB2312"/>
        </w:rPr>
        <w:t>）支出说明</w:t>
      </w:r>
    </w:p>
    <w:p>
      <w:pPr>
        <w:ind w:firstLine="640" w:firstLineChars="200"/>
        <w:rPr>
          <w:rFonts w:hint="eastAsia" w:ascii="仿宋_GB2312" w:cs="Times New Roman"/>
        </w:rPr>
      </w:pPr>
      <w:r>
        <w:rPr>
          <w:rFonts w:hint="eastAsia" w:ascii="仿宋_GB2312" w:cs="仿宋_GB2312"/>
        </w:rPr>
        <w:t>收支预算总表支出栏、基本支出表、项目支出表按经济分类和功能分类科目编制，反映饶阳县</w:t>
      </w:r>
      <w:r>
        <w:rPr>
          <w:rFonts w:hint="eastAsia" w:ascii="仿宋_GB2312"/>
          <w:b w:val="0"/>
          <w:bCs w:val="0"/>
          <w:color w:val="auto"/>
          <w:highlight w:val="none"/>
          <w:lang w:val="en-US" w:eastAsia="zh-CN"/>
        </w:rPr>
        <w:t>留楚乡人民政府</w:t>
      </w:r>
      <w:r>
        <w:rPr>
          <w:rFonts w:hint="eastAsia" w:ascii="仿宋_GB2312" w:cs="仿宋_GB2312"/>
        </w:rPr>
        <w:t>年度部门预算中支出的总体情况。</w:t>
      </w:r>
      <w:r>
        <w:rPr>
          <w:rFonts w:hint="eastAsia" w:ascii="仿宋_GB2312" w:cs="仿宋_GB2312"/>
          <w:lang w:eastAsia="zh-CN"/>
        </w:rPr>
        <w:t>2020</w:t>
      </w:r>
      <w:r>
        <w:rPr>
          <w:rFonts w:hint="eastAsia" w:ascii="仿宋_GB2312" w:cs="仿宋_GB2312"/>
        </w:rPr>
        <w:t>年部门预算支出</w:t>
      </w:r>
      <w:r>
        <w:rPr>
          <w:rFonts w:hint="eastAsia" w:ascii="仿宋_GB2312" w:cs="仿宋_GB2312"/>
          <w:lang w:val="en-US" w:eastAsia="zh-CN"/>
        </w:rPr>
        <w:t>2111.72</w:t>
      </w:r>
      <w:r>
        <w:rPr>
          <w:rFonts w:hint="eastAsia" w:ascii="仿宋_GB2312" w:cs="仿宋_GB2312"/>
        </w:rPr>
        <w:t>万元，其中，基本支出</w:t>
      </w:r>
      <w:r>
        <w:rPr>
          <w:rFonts w:hint="eastAsia" w:ascii="仿宋_GB2312" w:cs="仿宋_GB2312"/>
          <w:lang w:val="en-US" w:eastAsia="zh-CN"/>
        </w:rPr>
        <w:t>1090.95</w:t>
      </w:r>
      <w:r>
        <w:rPr>
          <w:rFonts w:hint="eastAsia" w:ascii="仿宋_GB2312" w:cs="仿宋_GB2312"/>
        </w:rPr>
        <w:t>万元，包括人员经费</w:t>
      </w:r>
      <w:r>
        <w:rPr>
          <w:rFonts w:hint="eastAsia" w:ascii="仿宋_GB2312" w:cs="仿宋_GB2312"/>
          <w:lang w:val="en-US" w:eastAsia="zh-CN"/>
        </w:rPr>
        <w:t>1007.25</w:t>
      </w:r>
      <w:r>
        <w:rPr>
          <w:rFonts w:hint="eastAsia" w:ascii="仿宋_GB2312" w:cs="仿宋_GB2312"/>
        </w:rPr>
        <w:t>万元与公用经费</w:t>
      </w:r>
      <w:r>
        <w:rPr>
          <w:rFonts w:hint="eastAsia" w:ascii="仿宋_GB2312" w:cs="仿宋_GB2312"/>
          <w:lang w:val="en-US" w:eastAsia="zh-CN"/>
        </w:rPr>
        <w:t>83.7</w:t>
      </w:r>
      <w:r>
        <w:rPr>
          <w:rFonts w:hint="eastAsia" w:ascii="仿宋_GB2312" w:cs="仿宋_GB2312"/>
        </w:rPr>
        <w:t>万元；项目支出</w:t>
      </w:r>
      <w:r>
        <w:rPr>
          <w:rFonts w:hint="eastAsia" w:ascii="仿宋_GB2312" w:cs="仿宋_GB2312"/>
          <w:lang w:val="en-US" w:eastAsia="zh-CN"/>
        </w:rPr>
        <w:t>1020.76</w:t>
      </w:r>
      <w:r>
        <w:rPr>
          <w:rFonts w:hint="eastAsia" w:ascii="仿宋_GB2312" w:cs="仿宋_GB2312"/>
        </w:rPr>
        <w:t>万元，包括</w:t>
      </w:r>
      <w:r>
        <w:rPr>
          <w:rFonts w:hint="eastAsia" w:ascii="仿宋_GB2312" w:cs="仿宋_GB2312"/>
          <w:lang w:val="en-US" w:eastAsia="zh-CN"/>
        </w:rPr>
        <w:t>农村环境卫生整治29.22万元、秸秆禁烧10万元、环保所经费5万元、空气监测站经费18万元、维稳经费10万元、统计经费0.2万元、扶贫驻村工作队经费144万元、修缮费5万元、人大代表之家经费5.88万元、三资平台及网络维护0.3万元、标准化财政所建设3万元、村级组织办公经费194.04万元、村干部基本报酬246.96万元、村党组织活动经费37.42万元、村两委离任补贴50.04万元、农业设施59.8万元、河长制经费7.5万元、农业产业发展20万元、战备路合方段绿化150.41万元、提前下达2020年市派工作队经费24万元</w:t>
      </w:r>
      <w:r>
        <w:rPr>
          <w:rFonts w:hint="eastAsia" w:ascii="仿宋_GB2312" w:cs="仿宋_GB2312"/>
        </w:rPr>
        <w:t>；其他支出</w:t>
      </w:r>
      <w:r>
        <w:rPr>
          <w:rFonts w:hint="eastAsia" w:ascii="仿宋_GB2312" w:cs="仿宋_GB2312"/>
          <w:lang w:val="en-US" w:eastAsia="zh-CN"/>
        </w:rPr>
        <w:t>0</w:t>
      </w:r>
      <w:r>
        <w:rPr>
          <w:rFonts w:hint="eastAsia" w:ascii="仿宋_GB2312" w:cs="仿宋_GB2312"/>
        </w:rPr>
        <w:t>万元。</w:t>
      </w:r>
    </w:p>
    <w:p>
      <w:pPr>
        <w:ind w:firstLine="640" w:firstLineChars="200"/>
        <w:rPr>
          <w:rFonts w:hint="eastAsia" w:ascii="仿宋_GB2312" w:cs="Times New Roman"/>
        </w:rPr>
      </w:pPr>
      <w:r>
        <w:rPr>
          <w:rFonts w:hint="eastAsia" w:ascii="仿宋_GB2312" w:cs="仿宋_GB2312"/>
        </w:rPr>
        <w:t>（</w:t>
      </w:r>
      <w:r>
        <w:rPr>
          <w:rFonts w:hint="eastAsia" w:ascii="仿宋_GB2312"/>
        </w:rPr>
        <w:t>3</w:t>
      </w:r>
      <w:r>
        <w:rPr>
          <w:rFonts w:hint="eastAsia" w:ascii="仿宋_GB2312" w:cs="仿宋_GB2312"/>
        </w:rPr>
        <w:t>）比上年增减情况</w:t>
      </w:r>
    </w:p>
    <w:p>
      <w:pPr>
        <w:ind w:firstLine="640" w:firstLineChars="200"/>
        <w:rPr>
          <w:rFonts w:hint="eastAsia" w:ascii="仿宋_GB2312" w:eastAsia="仿宋_GB2312" w:cs="Times New Roman"/>
          <w:lang w:val="en-US" w:eastAsia="zh-CN"/>
        </w:rPr>
      </w:pPr>
      <w:r>
        <w:rPr>
          <w:rFonts w:hint="eastAsia" w:ascii="仿宋_GB2312"/>
          <w:lang w:eastAsia="zh-CN"/>
        </w:rPr>
        <w:t>2020</w:t>
      </w:r>
      <w:r>
        <w:rPr>
          <w:rFonts w:hint="eastAsia" w:ascii="仿宋_GB2312"/>
        </w:rPr>
        <w:t>年，部门预算收支安排</w:t>
      </w:r>
      <w:r>
        <w:rPr>
          <w:rFonts w:hint="eastAsia" w:ascii="仿宋_GB2312"/>
          <w:lang w:val="en-US" w:eastAsia="zh-CN"/>
        </w:rPr>
        <w:t>2111.72</w:t>
      </w:r>
      <w:r>
        <w:rPr>
          <w:rFonts w:hint="eastAsia" w:ascii="仿宋_GB2312"/>
        </w:rPr>
        <w:t>万元，</w:t>
      </w:r>
      <w:r>
        <w:rPr>
          <w:rFonts w:hint="eastAsia" w:ascii="仿宋_GB2312" w:cs="仿宋_GB2312"/>
        </w:rPr>
        <w:t>较</w:t>
      </w:r>
      <w:r>
        <w:rPr>
          <w:rFonts w:hint="eastAsia" w:ascii="仿宋_GB2312"/>
          <w:lang w:eastAsia="zh-CN"/>
        </w:rPr>
        <w:t>2019</w:t>
      </w:r>
      <w:r>
        <w:rPr>
          <w:rFonts w:hint="eastAsia" w:ascii="仿宋_GB2312" w:cs="仿宋_GB2312"/>
        </w:rPr>
        <w:t>年</w:t>
      </w:r>
      <w:r>
        <w:rPr>
          <w:rFonts w:hint="eastAsia" w:ascii="仿宋_GB2312" w:cs="仿宋_GB2312"/>
          <w:lang w:eastAsia="zh-CN"/>
        </w:rPr>
        <w:t>减少</w:t>
      </w:r>
      <w:r>
        <w:rPr>
          <w:rFonts w:hint="eastAsia" w:ascii="仿宋_GB2312" w:cs="仿宋_GB2312"/>
          <w:lang w:val="en-US" w:eastAsia="zh-CN"/>
        </w:rPr>
        <w:t>1439.56</w:t>
      </w:r>
      <w:r>
        <w:rPr>
          <w:rFonts w:hint="eastAsia" w:ascii="仿宋_GB2312"/>
        </w:rPr>
        <w:t>万元，</w:t>
      </w:r>
      <w:r>
        <w:rPr>
          <w:rFonts w:hint="eastAsia" w:ascii="仿宋_GB2312"/>
          <w:lang w:eastAsia="zh-CN"/>
        </w:rPr>
        <w:t>减少</w:t>
      </w:r>
      <w:r>
        <w:rPr>
          <w:rFonts w:hint="eastAsia" w:ascii="仿宋_GB2312"/>
          <w:lang w:val="en-US" w:eastAsia="zh-CN"/>
        </w:rPr>
        <w:t>40.54%</w:t>
      </w:r>
      <w:r>
        <w:rPr>
          <w:rFonts w:hint="eastAsia" w:ascii="仿宋_GB2312"/>
        </w:rPr>
        <w:t>，其中：基本支出增长</w:t>
      </w:r>
      <w:r>
        <w:rPr>
          <w:rFonts w:hint="eastAsia" w:ascii="仿宋_GB2312"/>
          <w:lang w:val="en-US" w:eastAsia="zh-CN"/>
        </w:rPr>
        <w:t>218.36</w:t>
      </w:r>
      <w:r>
        <w:rPr>
          <w:rFonts w:hint="eastAsia" w:ascii="仿宋_GB2312"/>
        </w:rPr>
        <w:t>万元，主要是由于</w:t>
      </w:r>
      <w:r>
        <w:rPr>
          <w:rFonts w:hint="eastAsia" w:ascii="仿宋_GB2312"/>
          <w:highlight w:val="none"/>
        </w:rPr>
        <w:t>人员工资增长</w:t>
      </w:r>
      <w:r>
        <w:rPr>
          <w:rFonts w:hint="eastAsia" w:ascii="仿宋_GB2312"/>
        </w:rPr>
        <w:t>，项目支出</w:t>
      </w:r>
      <w:r>
        <w:rPr>
          <w:rFonts w:hint="eastAsia" w:ascii="仿宋_GB2312"/>
          <w:lang w:eastAsia="zh-CN"/>
        </w:rPr>
        <w:t>减少</w:t>
      </w:r>
      <w:r>
        <w:rPr>
          <w:rFonts w:hint="eastAsia" w:ascii="仿宋_GB2312"/>
          <w:lang w:val="en-US" w:eastAsia="zh-CN"/>
        </w:rPr>
        <w:t>1657.93</w:t>
      </w:r>
      <w:r>
        <w:rPr>
          <w:rFonts w:hint="eastAsia" w:ascii="仿宋_GB2312"/>
        </w:rPr>
        <w:t>万元，主要是由于</w:t>
      </w:r>
      <w:r>
        <w:rPr>
          <w:rFonts w:hint="eastAsia" w:ascii="仿宋_GB2312"/>
          <w:lang w:val="en-US" w:eastAsia="zh-CN"/>
        </w:rPr>
        <w:t>2020年三区同建项目资金减少。</w:t>
      </w:r>
    </w:p>
    <w:p>
      <w:pPr>
        <w:ind w:firstLine="643" w:firstLineChars="200"/>
        <w:rPr>
          <w:rFonts w:hint="eastAsia" w:ascii="仿宋_GB2312" w:cs="Times New Roman"/>
          <w:b/>
          <w:bCs/>
        </w:rPr>
      </w:pPr>
      <w:r>
        <w:rPr>
          <w:rFonts w:hint="eastAsia" w:ascii="仿宋_GB2312"/>
          <w:b/>
          <w:bCs/>
        </w:rPr>
        <w:t>3</w:t>
      </w:r>
      <w:r>
        <w:rPr>
          <w:rFonts w:hint="eastAsia" w:ascii="仿宋_GB2312" w:cs="仿宋_GB2312"/>
          <w:b/>
          <w:bCs/>
        </w:rPr>
        <w:t>、机关运行经费安排情况</w:t>
      </w:r>
    </w:p>
    <w:p>
      <w:pPr>
        <w:autoSpaceDE w:val="0"/>
        <w:autoSpaceDN w:val="0"/>
        <w:adjustRightInd w:val="0"/>
        <w:ind w:left="198" w:firstLine="640" w:firstLineChars="200"/>
        <w:jc w:val="left"/>
        <w:rPr>
          <w:rFonts w:hint="eastAsia" w:ascii="仿宋_GB2312"/>
          <w:highlight w:val="none"/>
        </w:rPr>
      </w:pPr>
      <w:r>
        <w:rPr>
          <w:rFonts w:hint="eastAsia" w:ascii="仿宋_GB2312" w:cs="仿宋_GB2312"/>
        </w:rPr>
        <w:t>机关运行经费共计安排</w:t>
      </w:r>
      <w:r>
        <w:rPr>
          <w:rFonts w:hint="eastAsia" w:ascii="仿宋_GB2312" w:cs="仿宋_GB2312"/>
          <w:lang w:val="en-US" w:eastAsia="zh-CN"/>
        </w:rPr>
        <w:t>83.7</w:t>
      </w:r>
      <w:r>
        <w:rPr>
          <w:rFonts w:hint="eastAsia" w:ascii="仿宋_GB2312"/>
        </w:rPr>
        <w:t>万元，主要用于</w:t>
      </w:r>
      <w:r>
        <w:rPr>
          <w:rFonts w:hint="eastAsia" w:ascii="仿宋_GB2312"/>
          <w:highlight w:val="none"/>
        </w:rPr>
        <w:t>保证机关正常运转的办公费</w:t>
      </w:r>
      <w:r>
        <w:rPr>
          <w:rFonts w:hint="eastAsia" w:ascii="仿宋_GB2312"/>
          <w:highlight w:val="none"/>
          <w:lang w:val="en-US" w:eastAsia="zh-CN"/>
        </w:rPr>
        <w:t>21.9</w:t>
      </w:r>
      <w:r>
        <w:rPr>
          <w:rFonts w:hint="eastAsia" w:ascii="仿宋_GB2312"/>
          <w:highlight w:val="none"/>
        </w:rPr>
        <w:t>万元、邮电费</w:t>
      </w:r>
      <w:r>
        <w:rPr>
          <w:rFonts w:hint="eastAsia" w:ascii="仿宋_GB2312"/>
          <w:highlight w:val="none"/>
          <w:lang w:val="en-US" w:eastAsia="zh-CN"/>
        </w:rPr>
        <w:t>2.5</w:t>
      </w:r>
      <w:r>
        <w:rPr>
          <w:rFonts w:hint="eastAsia" w:ascii="仿宋_GB2312"/>
          <w:highlight w:val="none"/>
        </w:rPr>
        <w:t>万元、差旅费</w:t>
      </w:r>
      <w:r>
        <w:rPr>
          <w:rFonts w:hint="eastAsia" w:ascii="仿宋_GB2312"/>
          <w:highlight w:val="none"/>
          <w:lang w:val="en-US" w:eastAsia="zh-CN"/>
        </w:rPr>
        <w:t>1</w:t>
      </w:r>
      <w:r>
        <w:rPr>
          <w:rFonts w:hint="eastAsia" w:ascii="仿宋_GB2312"/>
          <w:highlight w:val="none"/>
        </w:rPr>
        <w:t>万元、</w:t>
      </w:r>
      <w:r>
        <w:rPr>
          <w:rFonts w:hint="eastAsia" w:ascii="仿宋_GB2312"/>
          <w:highlight w:val="none"/>
          <w:lang w:eastAsia="zh-CN"/>
        </w:rPr>
        <w:t>会议</w:t>
      </w:r>
      <w:r>
        <w:rPr>
          <w:rFonts w:hint="eastAsia" w:ascii="仿宋_GB2312"/>
          <w:highlight w:val="none"/>
        </w:rPr>
        <w:t>费</w:t>
      </w:r>
      <w:r>
        <w:rPr>
          <w:rFonts w:hint="eastAsia" w:ascii="仿宋_GB2312"/>
          <w:highlight w:val="none"/>
          <w:lang w:val="en-US" w:eastAsia="zh-CN"/>
        </w:rPr>
        <w:t>0.2</w:t>
      </w:r>
      <w:r>
        <w:rPr>
          <w:rFonts w:hint="eastAsia" w:ascii="仿宋_GB2312"/>
          <w:highlight w:val="none"/>
        </w:rPr>
        <w:t>万元、会议费</w:t>
      </w:r>
      <w:r>
        <w:rPr>
          <w:rFonts w:hint="eastAsia" w:ascii="仿宋_GB2312"/>
          <w:highlight w:val="none"/>
          <w:lang w:val="en-US" w:eastAsia="zh-CN"/>
        </w:rPr>
        <w:t>0.2</w:t>
      </w:r>
      <w:r>
        <w:rPr>
          <w:rFonts w:hint="eastAsia" w:ascii="仿宋_GB2312"/>
          <w:highlight w:val="none"/>
        </w:rPr>
        <w:t>万元、培训费</w:t>
      </w:r>
      <w:r>
        <w:rPr>
          <w:rFonts w:hint="eastAsia" w:ascii="仿宋_GB2312"/>
          <w:highlight w:val="none"/>
          <w:lang w:val="en-US" w:eastAsia="zh-CN"/>
        </w:rPr>
        <w:t>0.2</w:t>
      </w:r>
      <w:r>
        <w:rPr>
          <w:rFonts w:hint="eastAsia" w:ascii="仿宋_GB2312"/>
          <w:highlight w:val="none"/>
        </w:rPr>
        <w:t>万元、工会经费</w:t>
      </w:r>
      <w:r>
        <w:rPr>
          <w:rFonts w:hint="eastAsia" w:ascii="仿宋_GB2312"/>
          <w:highlight w:val="none"/>
          <w:lang w:val="en-US" w:eastAsia="zh-CN"/>
        </w:rPr>
        <w:t>4.74</w:t>
      </w:r>
      <w:r>
        <w:rPr>
          <w:rFonts w:hint="eastAsia" w:ascii="仿宋_GB2312"/>
          <w:highlight w:val="none"/>
        </w:rPr>
        <w:t>万元、福利费</w:t>
      </w:r>
      <w:r>
        <w:rPr>
          <w:rFonts w:hint="eastAsia" w:ascii="仿宋_GB2312"/>
          <w:highlight w:val="none"/>
          <w:lang w:val="en-US" w:eastAsia="zh-CN"/>
        </w:rPr>
        <w:t>9.87</w:t>
      </w:r>
      <w:r>
        <w:rPr>
          <w:rFonts w:hint="eastAsia" w:ascii="仿宋_GB2312"/>
          <w:highlight w:val="none"/>
        </w:rPr>
        <w:t>万元、公务交通补贴</w:t>
      </w:r>
      <w:r>
        <w:rPr>
          <w:rFonts w:hint="eastAsia" w:ascii="仿宋_GB2312"/>
          <w:highlight w:val="none"/>
          <w:lang w:val="en-US" w:eastAsia="zh-CN"/>
        </w:rPr>
        <w:t>19.02</w:t>
      </w:r>
      <w:r>
        <w:rPr>
          <w:rFonts w:hint="eastAsia" w:ascii="仿宋_GB2312"/>
          <w:highlight w:val="none"/>
        </w:rPr>
        <w:t>万元、办公设备购置费</w:t>
      </w:r>
      <w:r>
        <w:rPr>
          <w:rFonts w:hint="eastAsia" w:ascii="仿宋_GB2312"/>
          <w:highlight w:val="none"/>
          <w:lang w:val="en-US" w:eastAsia="zh-CN"/>
        </w:rPr>
        <w:t>2.5</w:t>
      </w:r>
      <w:r>
        <w:rPr>
          <w:rFonts w:hint="eastAsia" w:ascii="仿宋_GB2312"/>
          <w:highlight w:val="none"/>
        </w:rPr>
        <w:t>万元、劳务费</w:t>
      </w:r>
      <w:r>
        <w:rPr>
          <w:rFonts w:hint="eastAsia" w:ascii="仿宋_GB2312"/>
          <w:highlight w:val="none"/>
          <w:lang w:val="en-US" w:eastAsia="zh-CN"/>
        </w:rPr>
        <w:t>3</w:t>
      </w:r>
      <w:r>
        <w:rPr>
          <w:rFonts w:hint="eastAsia" w:ascii="仿宋_GB2312"/>
          <w:highlight w:val="none"/>
        </w:rPr>
        <w:t>万元、电费</w:t>
      </w:r>
      <w:r>
        <w:rPr>
          <w:rFonts w:hint="eastAsia" w:ascii="仿宋_GB2312"/>
          <w:highlight w:val="none"/>
          <w:lang w:val="en-US" w:eastAsia="zh-CN"/>
        </w:rPr>
        <w:t>7</w:t>
      </w:r>
      <w:r>
        <w:rPr>
          <w:rFonts w:hint="eastAsia" w:ascii="仿宋_GB2312"/>
          <w:highlight w:val="none"/>
        </w:rPr>
        <w:t>万元、办公取暖费</w:t>
      </w:r>
      <w:r>
        <w:rPr>
          <w:rFonts w:hint="eastAsia" w:ascii="仿宋_GB2312"/>
          <w:highlight w:val="none"/>
          <w:lang w:val="en-US" w:eastAsia="zh-CN"/>
        </w:rPr>
        <w:t>9</w:t>
      </w:r>
      <w:r>
        <w:rPr>
          <w:rFonts w:hint="eastAsia" w:ascii="仿宋_GB2312"/>
          <w:highlight w:val="none"/>
        </w:rPr>
        <w:t>万元、公务车运行维护费</w:t>
      </w:r>
      <w:r>
        <w:rPr>
          <w:rFonts w:hint="eastAsia" w:ascii="仿宋_GB2312"/>
          <w:highlight w:val="none"/>
          <w:lang w:val="en-US" w:eastAsia="zh-CN"/>
        </w:rPr>
        <w:t>2.57</w:t>
      </w:r>
      <w:r>
        <w:rPr>
          <w:rFonts w:hint="eastAsia" w:ascii="仿宋_GB2312"/>
          <w:highlight w:val="none"/>
        </w:rPr>
        <w:t>万元。</w:t>
      </w:r>
    </w:p>
    <w:p>
      <w:pPr>
        <w:ind w:firstLine="643" w:firstLineChars="200"/>
        <w:rPr>
          <w:rFonts w:hint="eastAsia" w:ascii="仿宋_GB2312"/>
          <w:b/>
          <w:bCs/>
        </w:rPr>
      </w:pPr>
    </w:p>
    <w:p>
      <w:pPr>
        <w:ind w:firstLine="643" w:firstLineChars="200"/>
        <w:rPr>
          <w:rFonts w:hint="eastAsia" w:ascii="仿宋_GB2312" w:cs="Times New Roman"/>
          <w:b/>
          <w:bCs/>
        </w:rPr>
      </w:pPr>
      <w:r>
        <w:rPr>
          <w:rFonts w:hint="eastAsia" w:ascii="仿宋_GB2312"/>
          <w:b/>
          <w:bCs/>
        </w:rPr>
        <w:t>4</w:t>
      </w:r>
      <w:r>
        <w:rPr>
          <w:rFonts w:hint="eastAsia" w:ascii="仿宋_GB2312" w:cs="仿宋_GB2312"/>
          <w:b/>
          <w:bCs/>
        </w:rPr>
        <w:t>、财政拨款“三公”经费预算情况及增减变化情况</w:t>
      </w:r>
    </w:p>
    <w:p>
      <w:pPr>
        <w:ind w:firstLine="640" w:firstLineChars="200"/>
        <w:rPr>
          <w:rFonts w:hint="eastAsia"/>
          <w:highlight w:val="none"/>
        </w:rPr>
      </w:pPr>
      <w:r>
        <w:rPr>
          <w:rFonts w:hint="eastAsia" w:ascii="仿宋_GB2312" w:cs="仿宋_GB2312"/>
          <w:lang w:eastAsia="zh-CN"/>
        </w:rPr>
        <w:t>2020</w:t>
      </w:r>
      <w:r>
        <w:rPr>
          <w:rFonts w:hint="eastAsia" w:ascii="仿宋_GB2312" w:cs="仿宋_GB2312"/>
        </w:rPr>
        <w:t>年，财政拨款“三公”经费预算安排</w:t>
      </w:r>
      <w:r>
        <w:rPr>
          <w:rFonts w:hint="eastAsia" w:ascii="仿宋_GB2312" w:cs="仿宋_GB2312"/>
          <w:lang w:val="en-US" w:eastAsia="zh-CN"/>
        </w:rPr>
        <w:t>2.75</w:t>
      </w:r>
      <w:r>
        <w:rPr>
          <w:rFonts w:hint="eastAsia" w:ascii="仿宋_GB2312" w:cs="仿宋_GB2312"/>
        </w:rPr>
        <w:t>万元，其中：因公出国（境）费</w:t>
      </w:r>
      <w:r>
        <w:rPr>
          <w:rFonts w:hint="eastAsia" w:ascii="仿宋_GB2312" w:cs="仿宋_GB2312"/>
          <w:lang w:val="en-US" w:eastAsia="zh-CN"/>
        </w:rPr>
        <w:t>0</w:t>
      </w:r>
      <w:r>
        <w:rPr>
          <w:rFonts w:hint="eastAsia" w:ascii="仿宋_GB2312" w:cs="仿宋_GB2312"/>
        </w:rPr>
        <w:t>万元</w:t>
      </w:r>
      <w:r>
        <w:rPr>
          <w:rFonts w:ascii="仿宋_GB2312" w:cs="仿宋_GB2312"/>
        </w:rPr>
        <w:t>,</w:t>
      </w:r>
      <w:r>
        <w:rPr>
          <w:rFonts w:hint="eastAsia"/>
        </w:rPr>
        <w:t xml:space="preserve"> 与</w:t>
      </w:r>
      <w:r>
        <w:rPr>
          <w:rFonts w:hint="eastAsia"/>
          <w:lang w:eastAsia="zh-CN"/>
        </w:rPr>
        <w:t>2019</w:t>
      </w:r>
      <w:r>
        <w:rPr>
          <w:rFonts w:hint="eastAsia"/>
        </w:rPr>
        <w:t>年</w:t>
      </w:r>
      <w:r>
        <w:rPr>
          <w:rFonts w:hint="eastAsia"/>
          <w:highlight w:val="none"/>
        </w:rPr>
        <w:t>持平，无增减变化</w:t>
      </w:r>
      <w:r>
        <w:rPr>
          <w:rFonts w:hint="eastAsia" w:ascii="仿宋_GB2312" w:cs="仿宋_GB2312"/>
        </w:rPr>
        <w:t>；</w:t>
      </w:r>
      <w:r>
        <w:rPr>
          <w:rFonts w:hint="eastAsia"/>
        </w:rPr>
        <w:t>公务用车购置及运行维护费</w:t>
      </w:r>
      <w:r>
        <w:rPr>
          <w:rFonts w:hint="eastAsia"/>
          <w:lang w:val="en-US" w:eastAsia="zh-CN"/>
        </w:rPr>
        <w:t>2.57</w:t>
      </w:r>
      <w:r>
        <w:rPr>
          <w:rFonts w:hint="eastAsia"/>
        </w:rPr>
        <w:t>万元（其中公务用车购置费</w:t>
      </w:r>
      <w:r>
        <w:rPr>
          <w:rFonts w:hint="eastAsia"/>
          <w:lang w:val="en-US" w:eastAsia="zh-CN"/>
        </w:rPr>
        <w:t>0</w:t>
      </w:r>
      <w:r>
        <w:rPr>
          <w:rFonts w:hint="eastAsia"/>
        </w:rPr>
        <w:t>万元，公务用车运行维护费</w:t>
      </w:r>
      <w:r>
        <w:rPr>
          <w:rFonts w:hint="eastAsia"/>
          <w:lang w:val="en-US" w:eastAsia="zh-CN"/>
        </w:rPr>
        <w:t>2.57</w:t>
      </w:r>
      <w:r>
        <w:rPr>
          <w:rFonts w:hint="eastAsia"/>
        </w:rPr>
        <w:t>万元），与</w:t>
      </w:r>
      <w:r>
        <w:rPr>
          <w:rFonts w:hint="eastAsia"/>
          <w:lang w:eastAsia="zh-CN"/>
        </w:rPr>
        <w:t>2019</w:t>
      </w:r>
      <w:r>
        <w:rPr>
          <w:rFonts w:hint="eastAsia"/>
        </w:rPr>
        <w:t>年</w:t>
      </w:r>
      <w:r>
        <w:rPr>
          <w:rFonts w:hint="eastAsia"/>
          <w:highlight w:val="none"/>
        </w:rPr>
        <w:t>持平，无增减变化</w:t>
      </w:r>
      <w:r>
        <w:rPr>
          <w:rFonts w:hint="eastAsia"/>
        </w:rPr>
        <w:t>；公务接待费</w:t>
      </w:r>
      <w:r>
        <w:rPr>
          <w:rFonts w:hint="eastAsia"/>
          <w:lang w:val="en-US" w:eastAsia="zh-CN"/>
        </w:rPr>
        <w:t>0.18</w:t>
      </w:r>
      <w:r>
        <w:rPr>
          <w:rFonts w:hint="eastAsia"/>
        </w:rPr>
        <w:t>万元，与</w:t>
      </w:r>
      <w:r>
        <w:rPr>
          <w:rFonts w:hint="eastAsia"/>
          <w:lang w:eastAsia="zh-CN"/>
        </w:rPr>
        <w:t>2019</w:t>
      </w:r>
      <w:r>
        <w:rPr>
          <w:rFonts w:hint="eastAsia"/>
        </w:rPr>
        <w:t>年</w:t>
      </w:r>
      <w:r>
        <w:rPr>
          <w:rFonts w:hint="eastAsia"/>
          <w:highlight w:val="none"/>
        </w:rPr>
        <w:t>持平，无增减变化。</w:t>
      </w:r>
    </w:p>
    <w:p>
      <w:pPr>
        <w:ind w:firstLine="643" w:firstLineChars="200"/>
        <w:rPr>
          <w:rFonts w:hint="eastAsia" w:ascii="仿宋_GB2312" w:cs="仿宋_GB2312"/>
          <w:b/>
          <w:bCs/>
          <w:lang w:val="en-US" w:eastAsia="zh-CN"/>
        </w:rPr>
      </w:pPr>
      <w:r>
        <w:rPr>
          <w:rFonts w:hint="eastAsia" w:ascii="仿宋_GB2312"/>
          <w:b/>
          <w:bCs/>
        </w:rPr>
        <w:t>5</w:t>
      </w:r>
      <w:r>
        <w:rPr>
          <w:rFonts w:hint="eastAsia" w:ascii="仿宋_GB2312" w:cs="仿宋_GB2312"/>
          <w:b/>
          <w:bCs/>
        </w:rPr>
        <w:t>、预算绩效信息</w:t>
      </w:r>
      <w:r>
        <w:rPr>
          <w:rFonts w:hint="eastAsia" w:ascii="仿宋_GB2312" w:cs="仿宋_GB2312"/>
          <w:b/>
          <w:bCs/>
          <w:lang w:val="en-US" w:eastAsia="zh-CN"/>
        </w:rPr>
        <w:t xml:space="preserve"> </w:t>
      </w:r>
    </w:p>
    <w:p>
      <w:pPr>
        <w:ind w:firstLine="643" w:firstLineChars="200"/>
        <w:rPr>
          <w:rFonts w:hint="eastAsia" w:ascii="仿宋_GB2312" w:cs="仿宋_GB2312"/>
          <w:b/>
          <w:bCs/>
        </w:rPr>
      </w:pPr>
      <w:r>
        <w:rPr>
          <w:rFonts w:hint="eastAsia" w:ascii="仿宋_GB2312" w:cs="仿宋_GB2312"/>
          <w:b/>
          <w:bCs/>
          <w:lang w:val="en-US" w:eastAsia="zh-CN"/>
        </w:rPr>
        <w:t xml:space="preserve"> </w:t>
      </w:r>
      <w:r>
        <w:rPr>
          <w:rFonts w:hint="eastAsia" w:ascii="仿宋_GB2312" w:cs="仿宋_GB2312"/>
          <w:b/>
          <w:bCs/>
        </w:rPr>
        <w:t>第一部分 部门整体绩效目标</w:t>
      </w:r>
    </w:p>
    <w:p>
      <w:pPr>
        <w:ind w:firstLine="643" w:firstLineChars="200"/>
        <w:rPr>
          <w:rFonts w:hint="eastAsia" w:ascii="仿宋_GB2312" w:cs="仿宋_GB2312"/>
          <w:b/>
          <w:bCs/>
          <w:lang w:eastAsia="zh-CN"/>
        </w:rPr>
      </w:pPr>
      <w:r>
        <w:rPr>
          <w:rFonts w:hint="eastAsia" w:ascii="仿宋_GB2312" w:cs="仿宋_GB2312"/>
          <w:b/>
          <w:bCs/>
          <w:lang w:eastAsia="zh-CN"/>
        </w:rPr>
        <w:t>（一）总体绩效目标</w:t>
      </w:r>
    </w:p>
    <w:p>
      <w:pPr>
        <w:spacing w:line="500" w:lineRule="exact"/>
        <w:ind w:firstLine="560" w:firstLineChars="200"/>
        <w:jc w:val="left"/>
        <w:rPr>
          <w:rFonts w:eastAsia="方正仿宋_GBK"/>
          <w:sz w:val="28"/>
        </w:rPr>
      </w:pPr>
      <w:r>
        <w:rPr>
          <w:rFonts w:eastAsia="方正仿宋_GBK"/>
          <w:sz w:val="28"/>
        </w:rPr>
        <w:t>总体目标：根据今年经济形势和财政改革要求，2020年预算编制的指导思想是: 全面贯彻党的十九大精神，坚持以《预算法》为基本遵循，紧紧围绕县委重大决策部署，主动适应经济发展新常态，深入推进财政体制改革，积极发挥财政调控功能，优化财政支出结构，全面落实民生保障，着眼“生态立县，绿色崛起”，服务“四大战略”，坚持依法理财，规范财政管理，厉行节约、提升绩效，全力支持和保障经济社会发展。</w:t>
      </w:r>
    </w:p>
    <w:p>
      <w:pPr>
        <w:spacing w:line="500" w:lineRule="exact"/>
        <w:ind w:firstLine="560" w:firstLineChars="200"/>
        <w:jc w:val="left"/>
        <w:rPr>
          <w:rFonts w:eastAsia="方正仿宋_GBK"/>
          <w:sz w:val="28"/>
        </w:rPr>
      </w:pPr>
      <w:r>
        <w:rPr>
          <w:rFonts w:eastAsia="方正仿宋_GBK"/>
          <w:sz w:val="28"/>
        </w:rPr>
        <w:t xml:space="preserve">按照上述指导思想和《预算法》相关规定，结合我县实际情况，2020年预算编制的总体思路是：按照保工资、保运转、保民生、促发展的要求，认真编制全口径预算，政府全部收入全部纳入预算管理，全面实行部门预算管理，一般公共预算收入全部考虑进预算盘子。支出上，体现了无预算不能拨款要求，各类支出进一步细化到项级科目。 </w:t>
      </w:r>
    </w:p>
    <w:p>
      <w:pPr>
        <w:spacing w:line="500" w:lineRule="exact"/>
        <w:ind w:firstLine="560" w:firstLineChars="200"/>
        <w:jc w:val="left"/>
        <w:rPr>
          <w:rFonts w:eastAsia="方正仿宋_GBK"/>
          <w:sz w:val="28"/>
        </w:rPr>
      </w:pPr>
      <w:r>
        <w:rPr>
          <w:rFonts w:eastAsia="方正仿宋_GBK"/>
          <w:sz w:val="28"/>
        </w:rPr>
        <w:t>(一)人员经费。不折不扣落实财政开支人员各类调资和津补贴提标政策。对于自收自支人员财政补助按2019年标准进行安排。财政定额人员工资，财政补助按2019年标准进行安排。</w:t>
      </w:r>
    </w:p>
    <w:p>
      <w:pPr>
        <w:spacing w:line="500" w:lineRule="exact"/>
        <w:ind w:firstLine="560" w:firstLineChars="200"/>
        <w:jc w:val="left"/>
        <w:rPr>
          <w:rFonts w:eastAsia="方正仿宋_GBK"/>
          <w:sz w:val="28"/>
        </w:rPr>
      </w:pPr>
      <w:r>
        <w:rPr>
          <w:rFonts w:eastAsia="方正仿宋_GBK"/>
          <w:sz w:val="28"/>
        </w:rPr>
        <w:t>(二)正常公用经费。实行人均定额标准补助政策，即:对四套班子和常委部门公用经费实行定额保障，以2019年公用经费标准进行安排；一般单位公用经费定额标准为年人均公用经费25OO元；公、检、法、司、纪检会等上级有明确公用经费保障标准的，参照上级标准落实执行；其他执收执罚部门年人均保障标准不得突破 3500 元，乡镇区按照人均5000元标准安排。同时，严格控制 “三公经费”支出预算，严格编制政府采购预算。</w:t>
      </w:r>
    </w:p>
    <w:p>
      <w:pPr>
        <w:spacing w:line="500" w:lineRule="exact"/>
        <w:ind w:firstLine="560" w:firstLineChars="200"/>
        <w:jc w:val="left"/>
        <w:rPr>
          <w:rFonts w:eastAsia="方正仿宋_GBK"/>
          <w:sz w:val="28"/>
        </w:rPr>
      </w:pPr>
      <w:r>
        <w:rPr>
          <w:rFonts w:eastAsia="方正仿宋_GBK"/>
          <w:sz w:val="28"/>
        </w:rPr>
        <w:t>(三)社会保障支出。严格按照上级政策，落实各项社会保障补助政策。落实好机关事业人员养老保险并轨政策，落实城、乡居民低保补差水平，落实新农合、城镇居民医保、基本公共卫生服务人均补助提标标准。统筹安排处理企业改制等遗留问题资金。</w:t>
      </w:r>
    </w:p>
    <w:p>
      <w:pPr>
        <w:spacing w:line="500" w:lineRule="exact"/>
        <w:ind w:firstLine="560" w:firstLineChars="200"/>
        <w:jc w:val="left"/>
        <w:rPr>
          <w:rFonts w:eastAsia="方正仿宋_GBK"/>
          <w:sz w:val="28"/>
        </w:rPr>
      </w:pPr>
      <w:r>
        <w:rPr>
          <w:rFonts w:eastAsia="方正仿宋_GBK"/>
          <w:sz w:val="28"/>
        </w:rPr>
        <w:t>(四) 其他政策性配套。视财力安排黄标车治理、农作物保险补贴、扶贫、地下水超采、土地确权等各类政策性配套支出。</w:t>
      </w:r>
    </w:p>
    <w:p>
      <w:pPr>
        <w:spacing w:line="500" w:lineRule="exact"/>
        <w:ind w:firstLine="560" w:firstLineChars="200"/>
        <w:jc w:val="left"/>
        <w:rPr>
          <w:rFonts w:eastAsia="方正仿宋_GBK"/>
          <w:sz w:val="28"/>
        </w:rPr>
      </w:pPr>
      <w:r>
        <w:rPr>
          <w:rFonts w:eastAsia="方正仿宋_GBK"/>
          <w:sz w:val="28"/>
        </w:rPr>
        <w:t>(五)努力增加发展性支出。围绕县委、县政府四大战略实施，最大限度安排农业(含两节一会、国家农业公园创建)、企业发展、文化提升、城市基础设施建设(含园林城市创建)、大气污染治理等支出。</w:t>
      </w:r>
    </w:p>
    <w:p>
      <w:pPr>
        <w:ind w:firstLine="643" w:firstLineChars="200"/>
        <w:rPr>
          <w:rFonts w:hint="eastAsia" w:ascii="仿宋_GB2312" w:cs="仿宋_GB2312"/>
          <w:b/>
          <w:bCs/>
          <w:lang w:eastAsia="zh-CN"/>
        </w:rPr>
      </w:pPr>
    </w:p>
    <w:p>
      <w:pPr>
        <w:numPr>
          <w:ilvl w:val="0"/>
          <w:numId w:val="2"/>
        </w:numPr>
        <w:ind w:firstLine="643" w:firstLineChars="200"/>
        <w:rPr>
          <w:rFonts w:hint="eastAsia" w:ascii="仿宋_GB2312" w:cs="仿宋_GB2312"/>
          <w:b/>
          <w:bCs/>
          <w:lang w:eastAsia="zh-CN"/>
        </w:rPr>
      </w:pPr>
      <w:r>
        <w:rPr>
          <w:rFonts w:hint="eastAsia" w:ascii="仿宋_GB2312" w:cs="仿宋_GB2312"/>
          <w:b/>
          <w:bCs/>
          <w:lang w:eastAsia="zh-CN"/>
        </w:rPr>
        <w:t>分项绩效目标</w:t>
      </w:r>
    </w:p>
    <w:p>
      <w:pPr>
        <w:spacing w:line="500" w:lineRule="exact"/>
        <w:ind w:firstLine="560" w:firstLineChars="200"/>
        <w:jc w:val="left"/>
        <w:rPr>
          <w:rFonts w:eastAsia="方正仿宋_GBK"/>
          <w:sz w:val="28"/>
        </w:rPr>
      </w:pPr>
      <w:r>
        <w:rPr>
          <w:rFonts w:eastAsia="方正仿宋_GBK"/>
          <w:sz w:val="28"/>
        </w:rPr>
        <w:t>（一）提高扶贫工作队经费报销效率</w:t>
      </w:r>
    </w:p>
    <w:p>
      <w:pPr>
        <w:spacing w:line="500" w:lineRule="exact"/>
        <w:ind w:firstLine="560" w:firstLineChars="200"/>
        <w:jc w:val="left"/>
        <w:rPr>
          <w:rFonts w:eastAsia="方正仿宋_GBK"/>
          <w:sz w:val="28"/>
        </w:rPr>
      </w:pPr>
      <w:r>
        <w:rPr>
          <w:rFonts w:eastAsia="方正仿宋_GBK"/>
          <w:sz w:val="28"/>
        </w:rPr>
        <w:t xml:space="preserve">      绩效目标：工作队经费主要用于驻村工作队驻村期间必要的办公用品，生活用品，学习资料的购置，住房、伙食、用电、取暖补助、网络通讯补助、宣传费、差旅费、公务邮寄费、必要交通费、对派驻村贫困户、烈士家属等必要的慰问支出，保证政府机关人员、村级干部补助经费及时发放。</w:t>
      </w:r>
    </w:p>
    <w:p>
      <w:pPr>
        <w:spacing w:line="500" w:lineRule="exact"/>
        <w:ind w:firstLine="560" w:firstLineChars="200"/>
        <w:jc w:val="left"/>
        <w:rPr>
          <w:rFonts w:eastAsia="方正仿宋_GBK"/>
          <w:sz w:val="28"/>
        </w:rPr>
      </w:pPr>
      <w:r>
        <w:rPr>
          <w:rFonts w:eastAsia="方正仿宋_GBK"/>
          <w:sz w:val="28"/>
        </w:rPr>
        <w:t xml:space="preserve">      绩效指标：实施贫困公益项目数量在3个以上，通过问卷调查，满意和较满意的比率在80%以上，扶贫公益项目收益贫困户数量比率在40%以上。</w:t>
      </w:r>
    </w:p>
    <w:p>
      <w:pPr>
        <w:spacing w:line="500" w:lineRule="exact"/>
        <w:ind w:firstLine="560" w:firstLineChars="200"/>
        <w:jc w:val="left"/>
        <w:rPr>
          <w:rFonts w:eastAsia="方正仿宋_GBK"/>
          <w:sz w:val="28"/>
        </w:rPr>
      </w:pPr>
      <w:r>
        <w:rPr>
          <w:rFonts w:eastAsia="方正仿宋_GBK"/>
          <w:sz w:val="28"/>
        </w:rPr>
        <w:t xml:space="preserve">     （二）加强环境污染防治</w:t>
      </w:r>
    </w:p>
    <w:p>
      <w:pPr>
        <w:spacing w:line="500" w:lineRule="exact"/>
        <w:ind w:firstLine="560" w:firstLineChars="200"/>
        <w:jc w:val="left"/>
        <w:rPr>
          <w:rFonts w:eastAsia="方正仿宋_GBK"/>
          <w:sz w:val="28"/>
        </w:rPr>
      </w:pPr>
      <w:r>
        <w:rPr>
          <w:rFonts w:eastAsia="方正仿宋_GBK"/>
          <w:sz w:val="28"/>
        </w:rPr>
        <w:t xml:space="preserve">      绩效目标：开展秸秆禁烧活动，进行对空气监测站的进一步建设，提高农村环境整治经费使用效率，从而推进环境空气质量的改善，减少排放，垃圾污染情况。</w:t>
      </w:r>
    </w:p>
    <w:p>
      <w:pPr>
        <w:spacing w:line="500" w:lineRule="exact"/>
        <w:ind w:firstLine="560" w:firstLineChars="200"/>
        <w:jc w:val="left"/>
        <w:rPr>
          <w:rFonts w:eastAsia="方正仿宋_GBK"/>
          <w:sz w:val="28"/>
        </w:rPr>
      </w:pPr>
      <w:r>
        <w:rPr>
          <w:rFonts w:eastAsia="方正仿宋_GBK"/>
          <w:sz w:val="28"/>
        </w:rPr>
        <w:t xml:space="preserve">      绩效指标：空气达标率，生活污水处理率，生活垃圾无害处理率在80%以上，通过调查显示，群众满意度及较满意度在90%以上。</w:t>
      </w:r>
    </w:p>
    <w:p>
      <w:pPr>
        <w:spacing w:line="500" w:lineRule="exact"/>
        <w:ind w:firstLine="560" w:firstLineChars="200"/>
        <w:jc w:val="left"/>
        <w:rPr>
          <w:rFonts w:eastAsia="方正仿宋_GBK"/>
          <w:sz w:val="28"/>
        </w:rPr>
      </w:pPr>
      <w:r>
        <w:rPr>
          <w:rFonts w:eastAsia="方正仿宋_GBK"/>
          <w:sz w:val="28"/>
        </w:rPr>
        <w:t xml:space="preserve">     （三）保证村集体正常运行</w:t>
      </w:r>
    </w:p>
    <w:p>
      <w:pPr>
        <w:spacing w:line="500" w:lineRule="exact"/>
        <w:ind w:firstLine="560" w:firstLineChars="200"/>
        <w:jc w:val="left"/>
        <w:rPr>
          <w:rFonts w:eastAsia="方正仿宋_GBK"/>
          <w:sz w:val="28"/>
        </w:rPr>
      </w:pPr>
      <w:r>
        <w:rPr>
          <w:rFonts w:eastAsia="方正仿宋_GBK"/>
          <w:sz w:val="28"/>
        </w:rPr>
        <w:t xml:space="preserve">      绩效目标：留楚乡村级组织办公经费，两委离任补贴，在职村干部工资是对村集体的经济补助，做好奖补资金的分配、使用和管理工作，切实提高资金使用效益，从而保障村集体正常运作。</w:t>
      </w:r>
    </w:p>
    <w:p>
      <w:pPr>
        <w:spacing w:line="500" w:lineRule="exact"/>
        <w:ind w:firstLine="560" w:firstLineChars="200"/>
        <w:jc w:val="left"/>
        <w:rPr>
          <w:rFonts w:eastAsia="方正仿宋_GBK"/>
          <w:sz w:val="28"/>
        </w:rPr>
      </w:pPr>
      <w:r>
        <w:rPr>
          <w:rFonts w:eastAsia="方正仿宋_GBK"/>
          <w:sz w:val="28"/>
        </w:rPr>
        <w:t xml:space="preserve">      绩效指标：村干部工资及两委离任补贴发放率达到95%以上，村级组织办公经费发放至各村集体，通过问卷调查群众满意度及较满意度达90%以上，资金报账情况在3个月以内。</w:t>
      </w:r>
    </w:p>
    <w:p>
      <w:pPr>
        <w:spacing w:line="500" w:lineRule="exact"/>
        <w:ind w:firstLine="560" w:firstLineChars="200"/>
        <w:jc w:val="left"/>
        <w:rPr>
          <w:rFonts w:eastAsia="方正仿宋_GBK"/>
          <w:sz w:val="28"/>
        </w:rPr>
      </w:pPr>
      <w:r>
        <w:rPr>
          <w:rFonts w:eastAsia="方正仿宋_GBK"/>
          <w:sz w:val="28"/>
        </w:rPr>
        <w:t xml:space="preserve">     （四）保证信访维稳工作正常运行</w:t>
      </w:r>
    </w:p>
    <w:p>
      <w:pPr>
        <w:spacing w:line="500" w:lineRule="exact"/>
        <w:ind w:firstLine="560" w:firstLineChars="200"/>
        <w:jc w:val="left"/>
        <w:rPr>
          <w:rFonts w:eastAsia="方正仿宋_GBK"/>
          <w:sz w:val="28"/>
        </w:rPr>
      </w:pPr>
      <w:r>
        <w:rPr>
          <w:rFonts w:eastAsia="方正仿宋_GBK"/>
          <w:sz w:val="28"/>
        </w:rPr>
        <w:t xml:space="preserve">      绩效目标：保障进京维稳工作正常运行，做好奖补资金的分配、使用和管理工作，切实提高资金使用效益。加强综合治理，妥善处理突发性、群体性事件，调节和处理好各种利益矛盾和纠纷；落实各项管理措施，维护农村社会稳定；负责本乡的普法宣传教育及法律服务；负责信访稳定工作。</w:t>
      </w:r>
    </w:p>
    <w:p>
      <w:pPr>
        <w:spacing w:line="500" w:lineRule="exact"/>
        <w:ind w:firstLine="560" w:firstLineChars="200"/>
        <w:jc w:val="left"/>
        <w:rPr>
          <w:rFonts w:eastAsia="方正仿宋_GBK"/>
          <w:sz w:val="28"/>
        </w:rPr>
      </w:pPr>
      <w:r>
        <w:rPr>
          <w:rFonts w:eastAsia="方正仿宋_GBK"/>
          <w:sz w:val="28"/>
        </w:rPr>
        <w:t xml:space="preserve">      绩效指标：协调督导事项化解率在85%以上，通过普法宣传教育及法律服务，极大的解决了群众之间的矛盾问题，通过调查显示，群众满意度在80%以上。</w:t>
      </w:r>
    </w:p>
    <w:p>
      <w:pPr>
        <w:numPr>
          <w:ilvl w:val="0"/>
          <w:numId w:val="0"/>
        </w:numPr>
        <w:rPr>
          <w:rFonts w:hint="eastAsia" w:ascii="仿宋_GB2312" w:cs="仿宋_GB2312"/>
          <w:b/>
          <w:bCs/>
          <w:lang w:eastAsia="zh-CN"/>
        </w:rPr>
      </w:pPr>
    </w:p>
    <w:p>
      <w:pPr>
        <w:numPr>
          <w:ilvl w:val="0"/>
          <w:numId w:val="2"/>
        </w:numPr>
        <w:ind w:left="0" w:leftChars="0" w:firstLine="643" w:firstLineChars="200"/>
        <w:rPr>
          <w:rFonts w:hint="eastAsia" w:ascii="仿宋_GB2312" w:cs="仿宋_GB2312"/>
          <w:b/>
          <w:bCs/>
          <w:lang w:eastAsia="zh-CN"/>
        </w:rPr>
      </w:pPr>
      <w:r>
        <w:rPr>
          <w:rFonts w:hint="eastAsia" w:ascii="仿宋_GB2312" w:cs="仿宋_GB2312"/>
          <w:b/>
          <w:bCs/>
          <w:lang w:eastAsia="zh-CN"/>
        </w:rPr>
        <w:t>工作保障措施</w:t>
      </w:r>
    </w:p>
    <w:p>
      <w:pPr>
        <w:spacing w:line="500" w:lineRule="exact"/>
        <w:ind w:firstLine="560" w:firstLineChars="200"/>
        <w:jc w:val="left"/>
        <w:rPr>
          <w:rFonts w:eastAsia="方正仿宋_GBK"/>
          <w:sz w:val="28"/>
        </w:rPr>
      </w:pPr>
      <w:r>
        <w:rPr>
          <w:rFonts w:eastAsia="方正仿宋_GBK"/>
          <w:sz w:val="28"/>
        </w:rPr>
        <w:t>（一）统一思想，高度重视。要充分认识推进部门预算改革对构建公共财政体制、建设社会主义政治文明、落实科学发展观和建设和谐社会的重要性和紧迫性，把部门预算改革工作放在财政改革和发展的重要位置抓紧抓好；要切实加强组织领导，健全机构，进一步加大宣传力度，营造良好的改革氛围；各部门之间要加强沟通协调，形成改革的合力，确保改革顺利进行。</w:t>
      </w:r>
    </w:p>
    <w:p>
      <w:pPr>
        <w:spacing w:line="500" w:lineRule="exact"/>
        <w:ind w:firstLine="560" w:firstLineChars="200"/>
        <w:jc w:val="left"/>
        <w:rPr>
          <w:rFonts w:eastAsia="方正仿宋_GBK"/>
          <w:sz w:val="28"/>
        </w:rPr>
      </w:pPr>
      <w:r>
        <w:rPr>
          <w:rFonts w:eastAsia="方正仿宋_GBK"/>
          <w:sz w:val="28"/>
        </w:rPr>
        <w:t>（二）完善制度，夯实基础。要不断完善财政财务管理规章制度，为进一步深化部门预算改革提供制度保障；要加强部门资产管理，掌握部门资产底数，保证预算分配建立在真实、可靠的实物资产基础之上，逐步实现资产管理与预算管理的有机结合。</w:t>
      </w:r>
    </w:p>
    <w:p>
      <w:pPr>
        <w:spacing w:line="500" w:lineRule="exact"/>
        <w:ind w:firstLine="560" w:firstLineChars="200"/>
        <w:jc w:val="left"/>
        <w:rPr>
          <w:rFonts w:eastAsia="方正仿宋_GBK"/>
          <w:sz w:val="28"/>
        </w:rPr>
      </w:pPr>
      <w:r>
        <w:rPr>
          <w:rFonts w:eastAsia="方正仿宋_GBK"/>
          <w:sz w:val="28"/>
        </w:rPr>
        <w:t>（三）精心组织，抓好落实。要根据部门预算改革总体目标，结合我乡实际情况，精心制定改革实施方案，周密部署，分阶段分步骤抓好落实。</w:t>
      </w:r>
    </w:p>
    <w:p>
      <w:pPr>
        <w:spacing w:line="500" w:lineRule="exact"/>
        <w:ind w:firstLine="560" w:firstLineChars="200"/>
        <w:jc w:val="left"/>
        <w:rPr>
          <w:rFonts w:eastAsia="方正仿宋_GBK"/>
          <w:sz w:val="28"/>
        </w:rPr>
      </w:pPr>
      <w:r>
        <w:rPr>
          <w:rFonts w:eastAsia="方正仿宋_GBK"/>
          <w:sz w:val="28"/>
        </w:rPr>
        <w:t>（四）总结经验，不断创新。要密切关注改革中的新情况、新问题，及时化解影响和阻碍改革的突出矛盾；要及时总结推广改革过程中好的经验和做法，不断完善和规范部门预算改革模式；要根据公共财政的总体目标和部门预算改革的具体要求，准确把握改革的方向和重点，积极探索，勇于创新和实践，不断将我县部门预算改革推向深入。</w:t>
      </w:r>
    </w:p>
    <w:p>
      <w:pPr>
        <w:widowControl w:val="0"/>
        <w:numPr>
          <w:ilvl w:val="0"/>
          <w:numId w:val="0"/>
        </w:numPr>
        <w:jc w:val="both"/>
        <w:rPr>
          <w:rFonts w:hint="eastAsia" w:ascii="仿宋_GB2312" w:cs="仿宋_GB2312"/>
          <w:b/>
          <w:bCs/>
          <w:lang w:eastAsia="zh-CN"/>
        </w:rPr>
      </w:pPr>
    </w:p>
    <w:p>
      <w:pPr>
        <w:widowControl w:val="0"/>
        <w:numPr>
          <w:ilvl w:val="0"/>
          <w:numId w:val="0"/>
        </w:numPr>
        <w:jc w:val="both"/>
        <w:rPr>
          <w:rFonts w:hint="eastAsia" w:ascii="仿宋_GB2312" w:cs="仿宋_GB2312"/>
          <w:b/>
          <w:bCs/>
          <w:lang w:eastAsia="zh-CN"/>
        </w:rPr>
      </w:pPr>
    </w:p>
    <w:p>
      <w:pPr>
        <w:widowControl w:val="0"/>
        <w:numPr>
          <w:ilvl w:val="0"/>
          <w:numId w:val="0"/>
        </w:numPr>
        <w:jc w:val="both"/>
        <w:rPr>
          <w:rFonts w:hint="eastAsia" w:ascii="仿宋_GB2312" w:cs="仿宋_GB2312"/>
          <w:b/>
          <w:bCs/>
          <w:lang w:eastAsia="zh-CN"/>
        </w:rPr>
        <w:sectPr>
          <w:pgSz w:w="16839" w:h="11907" w:orient="landscape"/>
          <w:pgMar w:top="1020" w:right="1361" w:bottom="1020" w:left="1361" w:header="851" w:footer="992" w:gutter="0"/>
          <w:cols w:space="425" w:num="1"/>
          <w:docGrid w:type="lines" w:linePitch="312" w:charSpace="0"/>
        </w:sectPr>
      </w:pPr>
    </w:p>
    <w:p>
      <w:pPr>
        <w:ind w:firstLine="643" w:firstLineChars="200"/>
        <w:rPr>
          <w:rFonts w:ascii="Times New Roman" w:hAnsi="Times New Roman" w:eastAsia="方正仿宋_GBK" w:cs="Times New Roman"/>
          <w:b/>
          <w:sz w:val="32"/>
          <w:szCs w:val="32"/>
        </w:rPr>
      </w:pPr>
      <w:r>
        <w:rPr>
          <w:rFonts w:hint="eastAsia" w:ascii="仿宋_GB2312" w:cs="仿宋_GB2312"/>
          <w:b/>
          <w:bCs/>
        </w:rPr>
        <w:t>第二部分  预算项目绩效目标</w:t>
      </w:r>
      <w:r>
        <w:rPr>
          <w:rFonts w:hint="eastAsia" w:ascii="仿宋_GB2312" w:cs="仿宋_GB2312"/>
          <w:b/>
          <w:bCs/>
          <w:lang w:val="en-US" w:eastAsia="zh-CN"/>
        </w:rPr>
        <w:t xml:space="preserve"> </w:t>
      </w: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1、关于提前下达2020年市派驻村工作队工作经费的通知绩效目标表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1" w:name="_Toc31995202"/>
      <w:r>
        <w:rPr>
          <w:rFonts w:hint="eastAsia" w:asciiTheme="minorEastAsia" w:hAnsiTheme="minorEastAsia" w:eastAsiaTheme="minorEastAsia" w:cstheme="minorEastAsia"/>
          <w:b/>
          <w:sz w:val="21"/>
          <w:szCs w:val="21"/>
        </w:rPr>
        <w:instrText xml:space="preserve">1、关于提前下达2020年市派驻村工作队工作经费的通知绩效目标表</w:instrText>
      </w:r>
      <w:bookmarkEnd w:id="1"/>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806-0809-YQN-LUQY</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关于提前下达2020年市派驻村工作队工作经费的通知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240000.00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240000.00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经费主要用于驻村干部驻村期间必要的办公用品，生活用品，学习资粮的购置，伙食，住房，取暖补助，网络通讯补贴，宣传费，差旅费，公务邮件以及必要的交通费，对贫困户慰问支出，以及其他用于派驻村脱贫攻坚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1、扎实推进产业覆盖，支持贫困户发展设施蔬菜，畜牧养殖，光伏发电等，支持贫困户发展资金收益入股，资产收益扶贫项目的开展，将全面提升扶贫资金使用效益，推动农业主导产业转型升级</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时效指标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补助资金及时发放率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补助资金及时发放率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饶财农[2019]107号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农村贫困人员生活水平提升情况</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农村贫困人员生活水平提升情况</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稳步提高</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饶财农[2019]107号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实现扶贫项目数量</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实现扶贫项目数量</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≥14个</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饶财农[2019]107号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产业化扶贫项目带动率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产业化扶贫项目带动率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饶财农[2019]107号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贫困人员满意度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贫困人员满意度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饶财农[2019]107号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受助对象满意度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受助对象满意度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饶财农[2019]107号</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2、留楚乡标准化建设经费绩效目标表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2" w:name="_Toc31995203"/>
      <w:r>
        <w:rPr>
          <w:rFonts w:hint="eastAsia" w:asciiTheme="minorEastAsia" w:hAnsiTheme="minorEastAsia" w:eastAsiaTheme="minorEastAsia" w:cstheme="minorEastAsia"/>
          <w:b/>
          <w:sz w:val="21"/>
          <w:szCs w:val="21"/>
        </w:rPr>
        <w:instrText xml:space="preserve">2、留楚乡标准化建设经费绩效目标表</w:instrText>
      </w:r>
      <w:bookmarkEnd w:id="2"/>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806-0304-YQN-TLUM</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留楚乡标准化建设经费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留楚乡标准化建设经费，主要用于留楚乡财政所办公室的标准化，规范化，合格化的建设，使乡内财政所办公场所更为合格，更好的进行办公。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1、留楚乡标准化建设经费，主要用于留楚乡财政所办公室的标准化，规范化，合格化的建设，使乡内财政所办公场所更为合格，更好的进行办公。</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办公区域新建、扩建率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新建办公区域占总区域的百分比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自动化覆盖率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办公自动化覆盖范围占应覆盖范围的比率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新建改扩建工程验收合格率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新建改扩建工程验收合格程度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时效指标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完成率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新建改扩建工程完成程度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受益人数</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受益人员数量</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≥100人</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工作人员满意度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群众满意数量占总数的比例。</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3、留楚乡村党组织活动经费绩效目标表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3" w:name="_Toc31995204"/>
      <w:r>
        <w:rPr>
          <w:rFonts w:hint="eastAsia" w:asciiTheme="minorEastAsia" w:hAnsiTheme="minorEastAsia" w:eastAsiaTheme="minorEastAsia" w:cstheme="minorEastAsia"/>
          <w:b/>
          <w:sz w:val="21"/>
          <w:szCs w:val="21"/>
        </w:rPr>
        <w:instrText xml:space="preserve">3、留楚乡村党组织活动经费绩效目标表</w:instrText>
      </w:r>
      <w:bookmarkEnd w:id="3"/>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806-0808-YQN-MU3C</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留楚乡村党组织活动经费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374200.00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374200.00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村党组织活动经费，主要用于村内组织开会，宣讲等，使村内组织活动更为规范化，整体化，合理化。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1、村党组织活动经费，主要用于村内组织开会，宣讲等，使村内组织活动更为规范化，整体化，合理化。</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组织活动规范率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组织活动规范程度的百分比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组织活动合格率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组织活动合格程度的百分比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时效指标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资金当年使用率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当年使用资金进行开会，宣讲等活动的百分比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群众满意程度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群众满意度百分比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组织活动完成率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组织活动完成情况</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使用人大之家的人员满意程度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使用群众满意度的百分比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4、留楚乡村干部工资及两委离任补贴绩效目标表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4" w:name="_Toc31995205"/>
      <w:r>
        <w:rPr>
          <w:rFonts w:hint="eastAsia" w:asciiTheme="minorEastAsia" w:hAnsiTheme="minorEastAsia" w:eastAsiaTheme="minorEastAsia" w:cstheme="minorEastAsia"/>
          <w:b/>
          <w:sz w:val="21"/>
          <w:szCs w:val="21"/>
        </w:rPr>
        <w:instrText xml:space="preserve">4、留楚乡村干部工资及两委离任补贴绩效目标表</w:instrText>
      </w:r>
      <w:bookmarkEnd w:id="4"/>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806-0808-YQN-3KE5</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留楚乡村干部工资及两委离任补贴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2970000.00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2970000.00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留楚乡村干部工资及两委离任补贴，主要用于支付留楚乡49个村村干部的工资以及两委离任补贴，使村干部及两委离任成员工作更加积极踏实。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1、留楚乡村干部工资及两委离任补贴，主要用于支付留楚乡49个村村干部的工资以及两委离任补贴，使村干部及两委离任成员工作更加积极踏实。</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村干部工资及时发放率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村干部工资及时发放率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两委离任补贴及时发放率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两委离任补贴及时发放率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工资补贴发放完成度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工资补贴发放完成度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村干部满意度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村干部满意度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两委离任人员满意度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两委离任人员满意度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受益群众满意度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受益群众满意度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5、留楚乡村级组织办公经费绩效目标表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5" w:name="_Toc31995206"/>
      <w:r>
        <w:rPr>
          <w:rFonts w:hint="eastAsia" w:asciiTheme="minorEastAsia" w:hAnsiTheme="minorEastAsia" w:eastAsiaTheme="minorEastAsia" w:cstheme="minorEastAsia"/>
          <w:b/>
          <w:sz w:val="21"/>
          <w:szCs w:val="21"/>
        </w:rPr>
        <w:instrText xml:space="preserve">5、留楚乡村级组织办公经费绩效目标表</w:instrText>
      </w:r>
      <w:bookmarkEnd w:id="5"/>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806-0808-YQN-Q6M1</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留楚乡村级组织办公经费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1940400.00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1940400.00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村级转移支付，主要用于拨付三资托管中心用于村内卫生清理、村内日常管理村内等事物的日常开销等费用的支出，解决村内的日常运行问题。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1、解决村内的日常运行问题，为村内的运行提供更好的保障，使村内运行条件得到进一步提升。</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设施正常使用率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日常管理所需设备正常使用率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村庄卫生合格率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清理卫生后的合格率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生活污水处理率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生活污水处理情况的百分比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受益人口满意度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受益人口满意程度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生活垃圾无害化处理率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日常产出垃圾无害化处理程度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受益群众满意度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受益群众满意度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6、留楚乡扶贫驻村工作队经费绩效目标表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6" w:name="_Toc31995207"/>
      <w:r>
        <w:rPr>
          <w:rFonts w:hint="eastAsia" w:asciiTheme="minorEastAsia" w:hAnsiTheme="minorEastAsia" w:eastAsiaTheme="minorEastAsia" w:cstheme="minorEastAsia"/>
          <w:b/>
          <w:sz w:val="21"/>
          <w:szCs w:val="21"/>
        </w:rPr>
        <w:instrText xml:space="preserve">6、留楚乡扶贫驻村工作队经费绩效目标表</w:instrText>
      </w:r>
      <w:bookmarkEnd w:id="6"/>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806-0807-YQN-MTBZ</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留楚乡扶贫驻村工作队经费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1440000.00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1440000.00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扶贫驻村工作队经费，主要用于平常驻村工作队的开销费用，解决必要用车费用，电费，邮电费，取暖费等日常费用。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1、扶贫驻村工作队经费，主要用于平常驻村工作队的开销费用，解决必要用车费用，电费，邮电费，取暖费等日常费用。</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时效指标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补助资金及时发放率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补助资金及时发放率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农村贫困人员生活水平提升情况</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农村贫困人员生活水平提升情况</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稳步提高</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实现扶贫项目数量</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实现扶贫项目数量</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≥14个</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产业化扶贫项目带动率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产业化扶贫项目带动率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贫困人员满意度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贫困人员满意度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受助对象满意度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受助对象满意度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7、留楚乡河长制经费绩效目标表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7" w:name="_Toc31995208"/>
      <w:r>
        <w:rPr>
          <w:rFonts w:hint="eastAsia" w:asciiTheme="minorEastAsia" w:hAnsiTheme="minorEastAsia" w:eastAsiaTheme="minorEastAsia" w:cstheme="minorEastAsia"/>
          <w:b/>
          <w:sz w:val="21"/>
          <w:szCs w:val="21"/>
        </w:rPr>
        <w:instrText xml:space="preserve">7、留楚乡河长制经费绩效目标表</w:instrText>
      </w:r>
      <w:bookmarkEnd w:id="7"/>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806-0802-YQN-CG0W</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留楚乡河长制经费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通过建立河长制，进一步明确各行政村，各部门职责，落实各项河道管理措施，河道环境管理水平全面提升。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1、通过建立河长制，进一步明确各行政村，各部门职责，落实各项河道管理措施，河道环境管理水平全面提升。</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治理工程覆盖率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治理工程覆盖河流的百分比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堤防加固覆盖率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堤防加固占河流的百分比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护岸护坡覆盖率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护坡护岸覆盖河流百分比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工程验收合格率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工程验收合格情况</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可持续影响指标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长期使用性</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工程完成后对使用性的提升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提升/明显提升</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受益群众满意度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受益群众满意度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8、留楚乡环保所经费绩效目标表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8" w:name="_Toc31995209"/>
      <w:r>
        <w:rPr>
          <w:rFonts w:hint="eastAsia" w:asciiTheme="minorEastAsia" w:hAnsiTheme="minorEastAsia" w:eastAsiaTheme="minorEastAsia" w:cstheme="minorEastAsia"/>
          <w:b/>
          <w:sz w:val="21"/>
          <w:szCs w:val="21"/>
        </w:rPr>
        <w:instrText xml:space="preserve">8、留楚乡环保所经费绩效目标表</w:instrText>
      </w:r>
      <w:bookmarkEnd w:id="8"/>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806-1204-YQN-Q9YB</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留楚乡环保所经费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留楚乡环保所经费，主要用于留楚乡环保所进行对乡内环境保护，垃圾清理，道路清理等工作时所需要的经费，使工作更好的进行。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1、留楚乡环保所经费，主要用于留楚乡环保所进行对乡内环境保护，垃圾清理，道路清理等工作时所需要的经费，使工作更好的进行。</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村庄饮水卫生合格率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村庄饮水卫生合格率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生活污水处理率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生活污水处理率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生活垃圾定点存放清运率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生活垃圾定点存放清运率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生活垃圾无害化处理率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生活垃圾无害化处理率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可持续影响指标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工作完成率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指定工作进度完成情况占比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受益群众满意度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调查中满意和较满意的群众人数占全部调查人数的比率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9、留楚乡秸杆焚烧经费绩效目标表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9" w:name="_Toc31995210"/>
      <w:r>
        <w:rPr>
          <w:rFonts w:hint="eastAsia" w:asciiTheme="minorEastAsia" w:hAnsiTheme="minorEastAsia" w:eastAsiaTheme="minorEastAsia" w:cstheme="minorEastAsia"/>
          <w:b/>
          <w:sz w:val="21"/>
          <w:szCs w:val="21"/>
        </w:rPr>
        <w:instrText xml:space="preserve">9、留楚乡秸杆焚烧经费绩效目标表</w:instrText>
      </w:r>
      <w:bookmarkEnd w:id="9"/>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806-1203-YQN-FN43</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留楚乡秸杆焚烧经费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秸秆禁烧经费主要用于留楚乡对于环境整治，通过拉条幅宣传，黑板宣传等宣传活动，解决秸秆禁烧的问题，从而进一步整治留楚乡的环境问题。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1、秸秆禁烧经费主要用于留楚乡对于环境整治，通过拉条幅宣传，黑板宣传等宣传活动，解决秸秆禁烧的问题，从而进一步整治留楚乡的环境问题。</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危险废物处置率（%）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处置的危险废物数量占全部数量的比率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重点污染治理工程数量百分比</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完成的重点污染治理工程数量的比率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焚烧工作完成率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焚烧工作完成情况</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焚烧工作合格率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焚烧工作合格情况</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宣传活动完成率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宣传秸秆焚烧活动情况</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群众满意度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调查中满意和较满意的公众人数占全部调查人数的比率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10、留楚乡空气监测站服务运维费绩效目标表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10" w:name="_Toc31995211"/>
      <w:r>
        <w:rPr>
          <w:rFonts w:hint="eastAsia" w:asciiTheme="minorEastAsia" w:hAnsiTheme="minorEastAsia" w:eastAsiaTheme="minorEastAsia" w:cstheme="minorEastAsia"/>
          <w:b/>
          <w:sz w:val="21"/>
          <w:szCs w:val="21"/>
        </w:rPr>
        <w:instrText xml:space="preserve">10、留楚乡空气监测站服务运维费绩效目标表</w:instrText>
      </w:r>
      <w:bookmarkEnd w:id="10"/>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806-1201-YQN-PILF</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留楚乡空气监测站服务运维费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180000.00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180000.00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留楚乡空气监测站服务运行费，主要用于留楚乡空气监测站服务的正常运行，进一步解决留楚乡的空气质量问题，使留楚乡环境的到进一步的优化。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1、留楚乡空气监测站服务运行费，用于留楚乡空气监测站服务的正常运行，完成进一步解决留楚乡的空气质量问题的计划，使留楚乡环境的到进一步的优化。</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空气监测点覆盖率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空气监测站覆盖程度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项目验收合格率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空气监测站合格程度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监测点正常运转率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空气监测站正常运转占总量的百分比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时效指标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预警信息预报及时率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空气监测站预警信息及时程度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达到空气标准</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不对生态环境产生坏的影响，属于合格生态产业。</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项目参与人员满意度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项目参与人员满意程度百分比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受益群众满意度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受益群众满意程度百分比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11、留楚乡农村环境卫生整治绩效目标表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11" w:name="_Toc31995212"/>
      <w:r>
        <w:rPr>
          <w:rFonts w:hint="eastAsia" w:asciiTheme="minorEastAsia" w:hAnsiTheme="minorEastAsia" w:eastAsiaTheme="minorEastAsia" w:cstheme="minorEastAsia"/>
          <w:b/>
          <w:sz w:val="21"/>
          <w:szCs w:val="21"/>
        </w:rPr>
        <w:instrText xml:space="preserve">11、留楚乡农村环境卫生整治绩效目标表</w:instrText>
      </w:r>
      <w:bookmarkEnd w:id="11"/>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806-1202-YQN-RCH3</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留楚乡农村环境卫生整治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292230.00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292230.00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留楚申请生态环境奖励资金，使对生态环境保护的工作能更好的进行，主要用于生态环境保护工作的各项费用。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1、留楚申请生态环境奖励资金，使对生态环境保护的工作能更好的进行，主要用于生态环境保护工作的各项费用。</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村庄饮水卫生合格率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村庄饮水卫生合格率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生活污水处理率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生活污水处理率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生活垃圾定点存放清运率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生活垃圾定点存放清运率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生活垃圾无害化处理率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生活垃圾无害化处理率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可持续影响指标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工作完成率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指定工作进度完成情况占比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受益群众满意度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调查中满意和较满意的群众人数占全部调查人数的比率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12、留楚乡农业产业发展资金绩效目标表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12" w:name="_Toc31995213"/>
      <w:r>
        <w:rPr>
          <w:rFonts w:hint="eastAsia" w:asciiTheme="minorEastAsia" w:hAnsiTheme="minorEastAsia" w:eastAsiaTheme="minorEastAsia" w:cstheme="minorEastAsia"/>
          <w:b/>
          <w:sz w:val="21"/>
          <w:szCs w:val="21"/>
        </w:rPr>
        <w:instrText xml:space="preserve">12、留楚乡农业产业发展资金绩效目标表</w:instrText>
      </w:r>
      <w:bookmarkEnd w:id="12"/>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806-0802-YQN-T63U</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留楚乡农业产业发展资金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200000.00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200000.00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留楚乡农业发展资金，主要用于留楚乡对于乡内农业的推广和发展工作进行中所需要的费用，对农民的收入补贴等，使农业能得到更好的发展。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1、留楚乡农业发展资金，主要用于留楚乡对于乡内农业的推广和发展工作进行中所需要的费用，对农民的收入补贴等，使农业能得到更好的发展。</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基地良种覆盖率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良种种植面积与基地面积的比率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农具等设备合格率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合格的农具设备与采购的农具设备的比率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种植作物成活率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种植作物成活率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经济效益指标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产业产值占地区生产总值的比重</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产业产值占地区生产总值的比重</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受益人口满意度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受益人口满意度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农户满意度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农户满意度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13、留楚乡农业设施绩效目标表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13" w:name="_Toc31995214"/>
      <w:r>
        <w:rPr>
          <w:rFonts w:hint="eastAsia" w:asciiTheme="minorEastAsia" w:hAnsiTheme="minorEastAsia" w:eastAsiaTheme="minorEastAsia" w:cstheme="minorEastAsia"/>
          <w:b/>
          <w:sz w:val="21"/>
          <w:szCs w:val="21"/>
        </w:rPr>
        <w:instrText xml:space="preserve">13、留楚乡农业设施绩效目标表</w:instrText>
      </w:r>
      <w:bookmarkEnd w:id="13"/>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806-0802-YQN-C2BY</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留楚乡农业设施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597955.00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597955.00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留楚乡秉承支持农业发展的原则，申请农业设施资金，主要用于购置农业发展中必备的各类设施，以便于解决农类难题，更为规范的发展农业。共需资金597955元。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1、留楚乡秉承支持农业发展的原则，申请农业设施资金，主要用于购置农业发展中必备的各类设施，以便于解决农类难题，更为规范的发展农业。共需资金597955元。</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时效指标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购置农用设施当年使用率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购置农用设施当年使用率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农业设施完好率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农业设施完好率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购置农用设施使用率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购置农用设施使用率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经济效益指标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产业产值同比增长率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产业产值同比增长率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受益人口满意度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受益人口满意度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采用新品种、新技术、新成果农户满意度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采用新品种、新技术、新成果农户满意度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14、留楚乡人大之家经费绩效目标表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14" w:name="_Toc31995215"/>
      <w:r>
        <w:rPr>
          <w:rFonts w:hint="eastAsia" w:asciiTheme="minorEastAsia" w:hAnsiTheme="minorEastAsia" w:eastAsiaTheme="minorEastAsia" w:cstheme="minorEastAsia"/>
          <w:b/>
          <w:sz w:val="21"/>
          <w:szCs w:val="21"/>
        </w:rPr>
        <w:instrText xml:space="preserve">14、留楚乡人大之家经费绩效目标表</w:instrText>
      </w:r>
      <w:bookmarkEnd w:id="14"/>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806-3601-YQN-QMCM</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留楚乡人大之家经费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58800.00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58800.00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留楚乡建设及运行人大之家，主要用于人大事务，开会，宣讲等活动，从而使其更为整体化，规范化。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1、留楚乡建设及运行人大之家，主要用于人大事务，开会，宣讲等活动，从而使其更为整体化，规范化。</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人大之家使用率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在人大之家开会，宣讲等的百分比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人大之家规范率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人大之家规范程度的百分比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人大之家合格率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人大之家合格程度的百分比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时效指标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人大之家当年使用率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当年在人大之家开会，宣讲等的百分比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群众满意程度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群众满意度百分比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使用人大之家的人员满意程度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使用群众满意度的百分比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15、留楚乡三资平台及网络维护绩效目标表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15" w:name="_Toc31995216"/>
      <w:r>
        <w:rPr>
          <w:rFonts w:hint="eastAsia" w:asciiTheme="minorEastAsia" w:hAnsiTheme="minorEastAsia" w:eastAsiaTheme="minorEastAsia" w:cstheme="minorEastAsia"/>
          <w:b/>
          <w:sz w:val="21"/>
          <w:szCs w:val="21"/>
        </w:rPr>
        <w:instrText xml:space="preserve">15、留楚乡三资平台及网络维护绩效目标表</w:instrText>
      </w:r>
      <w:bookmarkEnd w:id="15"/>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806-0304-YQN-7VNQ</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留楚乡三资平台及网络维护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留楚乡三资平台及网络维护资金，主要用于平时三资的平台建设以及网络定期维护修缮，从而使三资平台更好的进行工作。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1、留楚乡三资平台及网络维护资金，主要用于平时三资的平台建设以及网络定期维护修缮，从而使三资平台更好的进行工作。</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故障排除率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排除故障次数占故障发生次数的比率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业务处理及时性</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及时处理业务数占总处理数的比率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时效指标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当年业务处理率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当年完成业务占总数的比率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业务处理完成率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完成业务数占总处理数的比率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三资平台人员满意度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调查中用户反馈满意和较满意的数量占调查用户总数量的比率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受益群众满意度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调查中用户反馈满意和较满意的数量占调查用户总数量的比率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16、留楚乡统计经费绩效目标表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16" w:name="_Toc31995217"/>
      <w:r>
        <w:rPr>
          <w:rFonts w:hint="eastAsia" w:asciiTheme="minorEastAsia" w:hAnsiTheme="minorEastAsia" w:eastAsiaTheme="minorEastAsia" w:cstheme="minorEastAsia"/>
          <w:b/>
          <w:sz w:val="21"/>
          <w:szCs w:val="21"/>
        </w:rPr>
        <w:instrText xml:space="preserve">16、留楚乡统计经费绩效目标表</w:instrText>
      </w:r>
      <w:bookmarkEnd w:id="16"/>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806-1101-YQN-A98D</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留楚乡统计经费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留楚乡统计经费，主要用于统计乡内各类办公室所负责进行的各项事务时所需的必须费用，让统计工作可以更好的进行.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1、用于统计乡内各类办公室所负责进行的各项事务时所需的必须费用，从而让留楚乡统计工作可以更好的进行。</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时效指标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普查按时完成率（%）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周期性普查统计按时完成程度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≥95百分比</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普查统计完成率（%）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周期性普查和大型调查任务的完成程度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≥95百分比</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调查对象覆盖率（%）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选取样本数量占调研对象总量的比率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≥95百分比</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可持续影响指标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统计失误率（%）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抽样调查失误数占抽样调查总数的比率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≤5百分比</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可持续影响指标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统计正确率（%）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抽样调查正确数占抽样调查总数的比率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≥95百分比</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受益对象满意度（%）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受益对象满意程度百分比</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≥95百分比</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17、留楚乡维稳及扫黑除恶经费绩效目标表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17" w:name="_Toc31995218"/>
      <w:r>
        <w:rPr>
          <w:rFonts w:hint="eastAsia" w:asciiTheme="minorEastAsia" w:hAnsiTheme="minorEastAsia" w:eastAsiaTheme="minorEastAsia" w:cstheme="minorEastAsia"/>
          <w:b/>
          <w:sz w:val="21"/>
          <w:szCs w:val="21"/>
        </w:rPr>
        <w:instrText xml:space="preserve">17、留楚乡维稳及扫黑除恶经费绩效目标表</w:instrText>
      </w:r>
      <w:bookmarkEnd w:id="17"/>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806-0603-YQN-P66F</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留楚乡维稳及扫黑除恶经费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维稳以及扫黑除恶经费主要用于扫黑除恶的日常工作经费，办公用品，解决各类矛盾纠纷以及扫黑除恶工作，宣传扫黑除恶等费用的支出，使维稳以及扫黑除恶工作能够更加顺利的开展。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1、维稳以及扫黑除恶经费主要用于扫黑除恶的日常工作经费，办公用品，解决各类矛盾纠纷以及扫黑除恶工作，宣传扫黑除恶等费用的支出，使维稳以及扫黑除恶工作能够更加顺利的开展。</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核心区不稳定因素降率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进入核心区的不稳定因素下降率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重点人口管控率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实际管控人数占应列管人数的比率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时效指标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当年维稳完成工作率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当年维稳完成工作率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化解矛盾率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司法救助案件化解矛盾的数量占司法救助案件数的比率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日常工作完成率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日常工作完成率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受益群众满意度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受益群众满意度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18、留楚乡战备路合方段绿化工程资金绩效目标表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18" w:name="_Toc31995219"/>
      <w:r>
        <w:rPr>
          <w:rFonts w:hint="eastAsia" w:asciiTheme="minorEastAsia" w:hAnsiTheme="minorEastAsia" w:eastAsiaTheme="minorEastAsia" w:cstheme="minorEastAsia"/>
          <w:b/>
          <w:sz w:val="21"/>
          <w:szCs w:val="21"/>
        </w:rPr>
        <w:instrText xml:space="preserve">18、留楚乡战备路合方段绿化工程资金绩效目标表</w:instrText>
      </w:r>
      <w:bookmarkEnd w:id="18"/>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806-0804-YQN-3TKA</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留楚乡战备路合方段绿化工程资金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1504098.00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1504098.00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留楚乡战备路合方段绿化工程资金，主要用于支付该工程所需的各类款项，从而使工程顺利进行，完成战备路合方段绿化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1、留楚乡战备路合方段绿化工程资金，主要用于支付该工程所需的各类款项，从而使工程顺利进行，完成战备路合方段绿化</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新增绿化覆盖率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新增绿化覆盖率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新增绿化完工率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新增绿化完工率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项目（工程）验收合格率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项目（工程）验收合格率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时效指标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项目（工程）完成及时率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项目（工程）完成及时率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可持续影响指标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长期使用性</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长期使用性</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受益人口满意度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受益人口满意度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spacing w:line="300" w:lineRule="exact"/>
        <w:ind w:firstLine="420" w:firstLineChars="200"/>
        <w:jc w:val="left"/>
        <w:rPr>
          <w:rFonts w:hint="eastAsia" w:asciiTheme="minorEastAsia" w:hAnsiTheme="minorEastAsia" w:eastAsiaTheme="minorEastAsia" w:cstheme="minorEastAsia"/>
          <w:sz w:val="21"/>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hint="eastAsia" w:asciiTheme="minorEastAsia" w:hAnsiTheme="minorEastAsia" w:eastAsiaTheme="minorEastAsia" w:cstheme="minorEastAsia"/>
          <w:sz w:val="21"/>
          <w:szCs w:val="21"/>
        </w:rPr>
      </w:pPr>
    </w:p>
    <w:p>
      <w:pPr>
        <w:ind w:firstLine="422" w:firstLineChars="20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19、留楚乡政府事务、修缮费绩效目标表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sz w:val="21"/>
          <w:szCs w:val="21"/>
        </w:rPr>
        <w:instrText xml:space="preserve"> TC </w:instrText>
      </w:r>
      <w:bookmarkStart w:id="19" w:name="_Toc31995220"/>
      <w:r>
        <w:rPr>
          <w:rFonts w:hint="eastAsia" w:asciiTheme="minorEastAsia" w:hAnsiTheme="minorEastAsia" w:eastAsiaTheme="minorEastAsia" w:cstheme="minorEastAsia"/>
          <w:b/>
          <w:sz w:val="21"/>
          <w:szCs w:val="21"/>
        </w:rPr>
        <w:instrText xml:space="preserve">19、留楚乡政府事务、修缮费绩效目标表</w:instrText>
      </w:r>
      <w:bookmarkEnd w:id="19"/>
      <w:r>
        <w:rPr>
          <w:rFonts w:hint="eastAsia" w:asciiTheme="minorEastAsia" w:hAnsiTheme="minorEastAsia" w:eastAsiaTheme="minorEastAsia" w:cstheme="minorEastAsia"/>
          <w:b/>
          <w:sz w:val="21"/>
          <w:szCs w:val="21"/>
        </w:rPr>
        <w:instrText xml:space="preserve"> \f C \l 1 </w:instrText>
      </w:r>
      <w:r>
        <w:rPr>
          <w:rFonts w:hint="eastAsia" w:asciiTheme="minorEastAsia" w:hAnsiTheme="minorEastAsia" w:eastAsiaTheme="minorEastAsia" w:cstheme="minorEastAsia"/>
          <w:b/>
          <w:sz w:val="21"/>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806003饶阳县留楚乡财政所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806-0304-YQN-ZP78</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留楚乡政府事务、修缮费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50000.00</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50000.00</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8278" w:type="dxa"/>
            <w:gridSpan w:val="6"/>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留楚乡政府事务、修缮费，主要用于留楚乡政府办理事务所用的必须费用以及修缮各项设施所需的费用，使工作能更好的进行。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hint="eastAsia" w:asciiTheme="minorEastAsia" w:hAnsiTheme="minorEastAsia" w:eastAsiaTheme="minorEastAsia" w:cstheme="minorEastAsia"/>
                <w:sz w:val="21"/>
                <w:szCs w:val="21"/>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1、留楚乡政府事务、修缮费，主要用于留楚乡政府办理事务所用的必须费用以及修缮各项设施所需的费用，使工作能更好的进行。</w:t>
            </w:r>
          </w:p>
        </w:tc>
      </w:tr>
    </w:tbl>
    <w:p>
      <w:pPr>
        <w:spacing w:line="14"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shd w:val="clear" w:color="auto" w:fill="auto"/>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产出指标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工程验收合格率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工程验收合格率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维修后房屋满足办公功能需要比例</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维修后房屋满足办公功能需要比例</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时效指标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当年开工率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当年开工占总工程量比率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时效指标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当年完成率</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当年完成量占总工程量比率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河北省绩效指标框架体系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效果指标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社会效益指标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受益人口数量</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乡内办公受益人口数量</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≥100人</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满意度指标</w:t>
            </w:r>
          </w:p>
        </w:tc>
        <w:tc>
          <w:tcPr>
            <w:tcW w:w="1134"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服务对象满意度指标</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受益人口满意度</w:t>
            </w:r>
          </w:p>
        </w:tc>
        <w:tc>
          <w:tcPr>
            <w:tcW w:w="289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经调查受益人口满意程度</w:t>
            </w:r>
          </w:p>
        </w:tc>
        <w:tc>
          <w:tcPr>
            <w:tcW w:w="1276"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701" w:type="dxa"/>
            <w:shd w:val="clear" w:color="auto" w:fill="auto"/>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领导批示</w:t>
            </w:r>
          </w:p>
        </w:tc>
      </w:tr>
    </w:tbl>
    <w:p>
      <w:pPr>
        <w:ind w:firstLine="643" w:firstLineChars="200"/>
        <w:rPr>
          <w:b/>
          <w:bCs/>
        </w:rPr>
      </w:pPr>
    </w:p>
    <w:p>
      <w:pPr>
        <w:ind w:firstLine="643" w:firstLineChars="200"/>
        <w:rPr>
          <w:rFonts w:hint="eastAsia" w:cs="仿宋_GB2312"/>
          <w:b/>
        </w:rPr>
      </w:pPr>
      <w:r>
        <w:rPr>
          <w:b/>
          <w:bCs/>
        </w:rPr>
        <w:t>6</w:t>
      </w:r>
      <w:r>
        <w:rPr>
          <w:rFonts w:hint="eastAsia" w:cs="仿宋_GB2312"/>
          <w:b/>
        </w:rPr>
        <w:t>、政府采购预算情况</w:t>
      </w:r>
    </w:p>
    <w:p>
      <w:pPr>
        <w:ind w:firstLine="640" w:firstLineChars="200"/>
        <w:rPr>
          <w:rFonts w:hint="eastAsia" w:ascii="仿宋_GB2312"/>
        </w:rPr>
      </w:pPr>
      <w:r>
        <w:rPr>
          <w:rFonts w:hint="eastAsia" w:ascii="仿宋_GB2312"/>
          <w:lang w:eastAsia="zh-CN"/>
        </w:rPr>
        <w:t>2020</w:t>
      </w:r>
      <w:r>
        <w:rPr>
          <w:rFonts w:hint="eastAsia" w:ascii="仿宋_GB2312"/>
        </w:rPr>
        <w:t>年，我部门安排政府采购预算</w:t>
      </w:r>
      <w:r>
        <w:rPr>
          <w:rFonts w:hint="eastAsia" w:ascii="仿宋_GB2312"/>
          <w:lang w:val="en-US" w:eastAsia="zh-CN"/>
        </w:rPr>
        <w:t>0</w:t>
      </w:r>
      <w:r>
        <w:rPr>
          <w:rFonts w:hint="eastAsia" w:ascii="仿宋_GB2312"/>
        </w:rPr>
        <w:t>万元，其中一般公共预算拨款</w:t>
      </w:r>
      <w:r>
        <w:rPr>
          <w:rFonts w:hint="eastAsia" w:ascii="仿宋_GB2312"/>
          <w:lang w:val="en-US" w:eastAsia="zh-CN"/>
        </w:rPr>
        <w:t>0</w:t>
      </w:r>
      <w:r>
        <w:rPr>
          <w:rFonts w:hint="eastAsia" w:ascii="仿宋_GB2312"/>
        </w:rPr>
        <w:t>万元,详见下表。</w:t>
      </w:r>
    </w:p>
    <w:p>
      <w:pPr>
        <w:ind w:firstLine="643" w:firstLineChars="200"/>
        <w:rPr>
          <w:rFonts w:hint="eastAsia" w:cs="仿宋_GB2312"/>
          <w:b/>
          <w:highlight w:val="none"/>
        </w:rPr>
      </w:pPr>
    </w:p>
    <w:tbl>
      <w:tblPr>
        <w:tblStyle w:val="5"/>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8"/>
        <w:gridCol w:w="1267"/>
        <w:gridCol w:w="874"/>
        <w:gridCol w:w="951"/>
        <w:gridCol w:w="597"/>
        <w:gridCol w:w="741"/>
        <w:gridCol w:w="950"/>
        <w:gridCol w:w="1168"/>
        <w:gridCol w:w="1168"/>
        <w:gridCol w:w="1168"/>
        <w:gridCol w:w="781"/>
        <w:gridCol w:w="865"/>
        <w:gridCol w:w="868"/>
        <w:gridCol w:w="8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728"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sz w:val="21"/>
                <w:szCs w:val="21"/>
                <w:highlight w:val="none"/>
                <w:lang w:val="en-US"/>
              </w:rPr>
            </w:pPr>
            <w:r>
              <w:rPr>
                <w:rFonts w:hint="eastAsia" w:ascii="方正小标宋_GBK" w:eastAsia="方正小标宋_GBK"/>
                <w:sz w:val="24"/>
                <w:highlight w:val="none"/>
                <w:lang w:val="en-US" w:eastAsia="zh-CN"/>
              </w:rPr>
              <w:t>806留楚乡人民政府</w:t>
            </w:r>
          </w:p>
        </w:tc>
        <w:tc>
          <w:tcPr>
            <w:tcW w:w="6840"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方正书宋_GBK" w:eastAsia="方正书宋_GBK"/>
                <w:sz w:val="21"/>
                <w:szCs w:val="21"/>
                <w:highlight w:val="none"/>
              </w:rPr>
            </w:pPr>
            <w:r>
              <w:rPr>
                <w:rFonts w:hint="eastAsia" w:ascii="方正书宋_GBK" w:eastAsia="方正书宋_GBK"/>
                <w:sz w:val="21"/>
                <w:szCs w:val="21"/>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15" w:type="dxa"/>
            <w:gridSpan w:val="2"/>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政府采购项目来源</w:t>
            </w:r>
          </w:p>
        </w:tc>
        <w:tc>
          <w:tcPr>
            <w:tcW w:w="874" w:type="dxa"/>
            <w:vMerge w:val="restart"/>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采购物品名称</w:t>
            </w:r>
          </w:p>
        </w:tc>
        <w:tc>
          <w:tcPr>
            <w:tcW w:w="951" w:type="dxa"/>
            <w:vMerge w:val="restart"/>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政府采购目录序号</w:t>
            </w:r>
          </w:p>
        </w:tc>
        <w:tc>
          <w:tcPr>
            <w:tcW w:w="597" w:type="dxa"/>
            <w:vMerge w:val="restart"/>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数量</w:t>
            </w:r>
            <w:r>
              <w:rPr>
                <w:rFonts w:ascii="方正书宋_GBK" w:eastAsia="方正书宋_GBK"/>
                <w:b/>
                <w:sz w:val="21"/>
                <w:szCs w:val="21"/>
              </w:rPr>
              <w:t xml:space="preserve">  </w:t>
            </w:r>
            <w:r>
              <w:rPr>
                <w:rFonts w:hint="eastAsia" w:ascii="方正书宋_GBK" w:eastAsia="方正书宋_GBK"/>
                <w:b/>
                <w:sz w:val="21"/>
                <w:szCs w:val="21"/>
              </w:rPr>
              <w:t>单位</w:t>
            </w:r>
          </w:p>
        </w:tc>
        <w:tc>
          <w:tcPr>
            <w:tcW w:w="741" w:type="dxa"/>
            <w:vMerge w:val="restart"/>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数量</w:t>
            </w:r>
          </w:p>
        </w:tc>
        <w:tc>
          <w:tcPr>
            <w:tcW w:w="950" w:type="dxa"/>
            <w:vMerge w:val="restart"/>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单价</w:t>
            </w:r>
          </w:p>
        </w:tc>
        <w:tc>
          <w:tcPr>
            <w:tcW w:w="6840" w:type="dxa"/>
            <w:gridSpan w:val="7"/>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48" w:type="dxa"/>
            <w:vMerge w:val="restart"/>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项目名称</w:t>
            </w:r>
          </w:p>
        </w:tc>
        <w:tc>
          <w:tcPr>
            <w:tcW w:w="1267" w:type="dxa"/>
            <w:vMerge w:val="restart"/>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预算资金</w:t>
            </w:r>
          </w:p>
        </w:tc>
        <w:tc>
          <w:tcPr>
            <w:tcW w:w="874" w:type="dxa"/>
            <w:vMerge w:val="continue"/>
            <w:shd w:val="clear" w:color="auto" w:fill="auto"/>
            <w:vAlign w:val="center"/>
          </w:tcPr>
          <w:p>
            <w:pPr>
              <w:spacing w:line="300" w:lineRule="exact"/>
              <w:jc w:val="left"/>
              <w:outlineLvl w:val="0"/>
              <w:rPr>
                <w:rFonts w:hint="eastAsia"/>
                <w:sz w:val="21"/>
                <w:szCs w:val="21"/>
              </w:rPr>
            </w:pPr>
          </w:p>
        </w:tc>
        <w:tc>
          <w:tcPr>
            <w:tcW w:w="951" w:type="dxa"/>
            <w:vMerge w:val="continue"/>
            <w:shd w:val="clear" w:color="auto" w:fill="auto"/>
            <w:vAlign w:val="center"/>
          </w:tcPr>
          <w:p>
            <w:pPr>
              <w:spacing w:line="300" w:lineRule="exact"/>
              <w:jc w:val="left"/>
              <w:outlineLvl w:val="0"/>
              <w:rPr>
                <w:rFonts w:hint="eastAsia"/>
                <w:sz w:val="21"/>
                <w:szCs w:val="21"/>
              </w:rPr>
            </w:pPr>
          </w:p>
        </w:tc>
        <w:tc>
          <w:tcPr>
            <w:tcW w:w="597" w:type="dxa"/>
            <w:vMerge w:val="continue"/>
            <w:shd w:val="clear" w:color="auto" w:fill="auto"/>
            <w:vAlign w:val="center"/>
          </w:tcPr>
          <w:p>
            <w:pPr>
              <w:spacing w:line="300" w:lineRule="exact"/>
              <w:jc w:val="left"/>
              <w:outlineLvl w:val="0"/>
              <w:rPr>
                <w:rFonts w:hint="eastAsia"/>
                <w:sz w:val="21"/>
                <w:szCs w:val="21"/>
              </w:rPr>
            </w:pPr>
          </w:p>
        </w:tc>
        <w:tc>
          <w:tcPr>
            <w:tcW w:w="741" w:type="dxa"/>
            <w:vMerge w:val="continue"/>
            <w:shd w:val="clear" w:color="auto" w:fill="auto"/>
            <w:vAlign w:val="center"/>
          </w:tcPr>
          <w:p>
            <w:pPr>
              <w:spacing w:line="300" w:lineRule="exact"/>
              <w:jc w:val="left"/>
              <w:outlineLvl w:val="0"/>
              <w:rPr>
                <w:rFonts w:hint="eastAsia"/>
                <w:sz w:val="21"/>
                <w:szCs w:val="21"/>
              </w:rPr>
            </w:pPr>
          </w:p>
        </w:tc>
        <w:tc>
          <w:tcPr>
            <w:tcW w:w="950" w:type="dxa"/>
            <w:vMerge w:val="continue"/>
            <w:shd w:val="clear" w:color="auto" w:fill="auto"/>
            <w:vAlign w:val="center"/>
          </w:tcPr>
          <w:p>
            <w:pPr>
              <w:spacing w:line="300" w:lineRule="exact"/>
              <w:jc w:val="left"/>
              <w:outlineLvl w:val="0"/>
              <w:rPr>
                <w:rFonts w:hint="eastAsia"/>
                <w:sz w:val="21"/>
                <w:szCs w:val="21"/>
              </w:rPr>
            </w:pPr>
          </w:p>
        </w:tc>
        <w:tc>
          <w:tcPr>
            <w:tcW w:w="1168" w:type="dxa"/>
            <w:vMerge w:val="restart"/>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总计</w:t>
            </w:r>
          </w:p>
        </w:tc>
        <w:tc>
          <w:tcPr>
            <w:tcW w:w="4850" w:type="dxa"/>
            <w:gridSpan w:val="5"/>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当年部门预算安排资金</w:t>
            </w:r>
          </w:p>
        </w:tc>
        <w:tc>
          <w:tcPr>
            <w:tcW w:w="822" w:type="dxa"/>
            <w:vMerge w:val="restart"/>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48" w:type="dxa"/>
            <w:vMerge w:val="continue"/>
            <w:shd w:val="clear" w:color="auto" w:fill="auto"/>
            <w:vAlign w:val="center"/>
          </w:tcPr>
          <w:p>
            <w:pPr>
              <w:spacing w:line="300" w:lineRule="exact"/>
              <w:jc w:val="left"/>
              <w:outlineLvl w:val="0"/>
              <w:rPr>
                <w:rFonts w:hint="eastAsia"/>
                <w:sz w:val="21"/>
                <w:szCs w:val="21"/>
              </w:rPr>
            </w:pPr>
          </w:p>
        </w:tc>
        <w:tc>
          <w:tcPr>
            <w:tcW w:w="1267" w:type="dxa"/>
            <w:vMerge w:val="continue"/>
            <w:shd w:val="clear" w:color="auto" w:fill="auto"/>
            <w:vAlign w:val="center"/>
          </w:tcPr>
          <w:p>
            <w:pPr>
              <w:spacing w:line="300" w:lineRule="exact"/>
              <w:jc w:val="left"/>
              <w:outlineLvl w:val="0"/>
              <w:rPr>
                <w:rFonts w:hint="eastAsia"/>
                <w:sz w:val="21"/>
                <w:szCs w:val="21"/>
              </w:rPr>
            </w:pPr>
          </w:p>
        </w:tc>
        <w:tc>
          <w:tcPr>
            <w:tcW w:w="874" w:type="dxa"/>
            <w:vMerge w:val="continue"/>
            <w:shd w:val="clear" w:color="auto" w:fill="auto"/>
            <w:vAlign w:val="center"/>
          </w:tcPr>
          <w:p>
            <w:pPr>
              <w:spacing w:line="300" w:lineRule="exact"/>
              <w:jc w:val="left"/>
              <w:outlineLvl w:val="0"/>
              <w:rPr>
                <w:rFonts w:hint="eastAsia"/>
                <w:sz w:val="21"/>
                <w:szCs w:val="21"/>
              </w:rPr>
            </w:pPr>
          </w:p>
        </w:tc>
        <w:tc>
          <w:tcPr>
            <w:tcW w:w="951" w:type="dxa"/>
            <w:vMerge w:val="continue"/>
            <w:shd w:val="clear" w:color="auto" w:fill="auto"/>
            <w:vAlign w:val="center"/>
          </w:tcPr>
          <w:p>
            <w:pPr>
              <w:spacing w:line="300" w:lineRule="exact"/>
              <w:jc w:val="left"/>
              <w:outlineLvl w:val="0"/>
              <w:rPr>
                <w:rFonts w:hint="eastAsia"/>
                <w:sz w:val="21"/>
                <w:szCs w:val="21"/>
              </w:rPr>
            </w:pPr>
          </w:p>
        </w:tc>
        <w:tc>
          <w:tcPr>
            <w:tcW w:w="597" w:type="dxa"/>
            <w:vMerge w:val="continue"/>
            <w:shd w:val="clear" w:color="auto" w:fill="auto"/>
            <w:vAlign w:val="center"/>
          </w:tcPr>
          <w:p>
            <w:pPr>
              <w:spacing w:line="300" w:lineRule="exact"/>
              <w:jc w:val="left"/>
              <w:outlineLvl w:val="0"/>
              <w:rPr>
                <w:rFonts w:hint="eastAsia"/>
                <w:sz w:val="21"/>
                <w:szCs w:val="21"/>
              </w:rPr>
            </w:pPr>
          </w:p>
        </w:tc>
        <w:tc>
          <w:tcPr>
            <w:tcW w:w="741" w:type="dxa"/>
            <w:vMerge w:val="continue"/>
            <w:shd w:val="clear" w:color="auto" w:fill="auto"/>
            <w:vAlign w:val="center"/>
          </w:tcPr>
          <w:p>
            <w:pPr>
              <w:spacing w:line="300" w:lineRule="exact"/>
              <w:jc w:val="left"/>
              <w:outlineLvl w:val="0"/>
              <w:rPr>
                <w:rFonts w:hint="eastAsia"/>
                <w:sz w:val="21"/>
                <w:szCs w:val="21"/>
              </w:rPr>
            </w:pPr>
          </w:p>
        </w:tc>
        <w:tc>
          <w:tcPr>
            <w:tcW w:w="950" w:type="dxa"/>
            <w:vMerge w:val="continue"/>
            <w:shd w:val="clear" w:color="auto" w:fill="auto"/>
            <w:vAlign w:val="center"/>
          </w:tcPr>
          <w:p>
            <w:pPr>
              <w:spacing w:line="300" w:lineRule="exact"/>
              <w:jc w:val="left"/>
              <w:outlineLvl w:val="0"/>
              <w:rPr>
                <w:rFonts w:hint="eastAsia"/>
                <w:sz w:val="21"/>
                <w:szCs w:val="21"/>
              </w:rPr>
            </w:pPr>
          </w:p>
        </w:tc>
        <w:tc>
          <w:tcPr>
            <w:tcW w:w="1168" w:type="dxa"/>
            <w:vMerge w:val="continue"/>
            <w:shd w:val="clear" w:color="auto" w:fill="auto"/>
            <w:vAlign w:val="center"/>
          </w:tcPr>
          <w:p>
            <w:pPr>
              <w:spacing w:line="300" w:lineRule="exact"/>
              <w:jc w:val="left"/>
              <w:outlineLvl w:val="0"/>
              <w:rPr>
                <w:rFonts w:hint="eastAsia"/>
                <w:sz w:val="21"/>
                <w:szCs w:val="21"/>
              </w:rPr>
            </w:pPr>
          </w:p>
        </w:tc>
        <w:tc>
          <w:tcPr>
            <w:tcW w:w="1168" w:type="dxa"/>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合计</w:t>
            </w:r>
          </w:p>
        </w:tc>
        <w:tc>
          <w:tcPr>
            <w:tcW w:w="1168" w:type="dxa"/>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一般公共预算拨款</w:t>
            </w:r>
          </w:p>
        </w:tc>
        <w:tc>
          <w:tcPr>
            <w:tcW w:w="781" w:type="dxa"/>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基金预算拨款</w:t>
            </w:r>
          </w:p>
        </w:tc>
        <w:tc>
          <w:tcPr>
            <w:tcW w:w="865" w:type="dxa"/>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财政专户核拨</w:t>
            </w:r>
          </w:p>
        </w:tc>
        <w:tc>
          <w:tcPr>
            <w:tcW w:w="868" w:type="dxa"/>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其他来源收入</w:t>
            </w:r>
          </w:p>
        </w:tc>
        <w:tc>
          <w:tcPr>
            <w:tcW w:w="822" w:type="dxa"/>
            <w:vMerge w:val="continue"/>
            <w:shd w:val="clear" w:color="auto" w:fill="auto"/>
            <w:vAlign w:val="center"/>
          </w:tcPr>
          <w:p>
            <w:pPr>
              <w:spacing w:line="300" w:lineRule="exact"/>
              <w:jc w:val="left"/>
              <w:outlineLvl w:val="0"/>
              <w:rPr>
                <w:rFonts w:hint="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8" w:type="dxa"/>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合　计</w:t>
            </w:r>
          </w:p>
        </w:tc>
        <w:tc>
          <w:tcPr>
            <w:tcW w:w="1267" w:type="dxa"/>
            <w:shd w:val="clear" w:color="auto" w:fill="auto"/>
            <w:vAlign w:val="center"/>
          </w:tcPr>
          <w:p>
            <w:pPr>
              <w:spacing w:line="300" w:lineRule="exact"/>
              <w:jc w:val="right"/>
              <w:rPr>
                <w:rFonts w:hint="eastAsia" w:ascii="方正书宋_GBK" w:eastAsia="方正书宋_GBK"/>
                <w:b/>
                <w:sz w:val="21"/>
                <w:szCs w:val="21"/>
              </w:rPr>
            </w:pPr>
          </w:p>
        </w:tc>
        <w:tc>
          <w:tcPr>
            <w:tcW w:w="874" w:type="dxa"/>
            <w:shd w:val="clear" w:color="auto" w:fill="auto"/>
            <w:vAlign w:val="center"/>
          </w:tcPr>
          <w:p>
            <w:pPr>
              <w:spacing w:line="300" w:lineRule="exact"/>
              <w:jc w:val="left"/>
              <w:rPr>
                <w:rFonts w:hint="eastAsia" w:ascii="方正书宋_GBK" w:eastAsia="方正书宋_GBK"/>
                <w:b/>
                <w:sz w:val="21"/>
                <w:szCs w:val="21"/>
              </w:rPr>
            </w:pPr>
          </w:p>
        </w:tc>
        <w:tc>
          <w:tcPr>
            <w:tcW w:w="951" w:type="dxa"/>
            <w:shd w:val="clear" w:color="auto" w:fill="auto"/>
            <w:vAlign w:val="center"/>
          </w:tcPr>
          <w:p>
            <w:pPr>
              <w:spacing w:line="300" w:lineRule="exact"/>
              <w:jc w:val="left"/>
              <w:rPr>
                <w:rFonts w:hint="eastAsia" w:ascii="方正书宋_GBK" w:eastAsia="方正书宋_GBK"/>
                <w:b/>
                <w:sz w:val="21"/>
                <w:szCs w:val="21"/>
              </w:rPr>
            </w:pPr>
          </w:p>
        </w:tc>
        <w:tc>
          <w:tcPr>
            <w:tcW w:w="597" w:type="dxa"/>
            <w:shd w:val="clear" w:color="auto" w:fill="auto"/>
            <w:vAlign w:val="center"/>
          </w:tcPr>
          <w:p>
            <w:pPr>
              <w:spacing w:line="300" w:lineRule="exact"/>
              <w:jc w:val="left"/>
              <w:rPr>
                <w:rFonts w:hint="eastAsia" w:ascii="方正书宋_GBK" w:eastAsia="方正书宋_GBK"/>
                <w:b/>
                <w:sz w:val="21"/>
                <w:szCs w:val="21"/>
              </w:rPr>
            </w:pPr>
          </w:p>
        </w:tc>
        <w:tc>
          <w:tcPr>
            <w:tcW w:w="741" w:type="dxa"/>
            <w:shd w:val="clear" w:color="auto" w:fill="auto"/>
            <w:vAlign w:val="center"/>
          </w:tcPr>
          <w:p>
            <w:pPr>
              <w:spacing w:line="300" w:lineRule="exact"/>
              <w:jc w:val="right"/>
              <w:rPr>
                <w:rFonts w:hint="eastAsia" w:ascii="方正书宋_GBK" w:eastAsia="方正书宋_GBK"/>
                <w:b/>
                <w:sz w:val="21"/>
                <w:szCs w:val="21"/>
              </w:rPr>
            </w:pPr>
          </w:p>
        </w:tc>
        <w:tc>
          <w:tcPr>
            <w:tcW w:w="950" w:type="dxa"/>
            <w:shd w:val="clear" w:color="auto" w:fill="auto"/>
            <w:vAlign w:val="center"/>
          </w:tcPr>
          <w:p>
            <w:pPr>
              <w:spacing w:line="300" w:lineRule="exact"/>
              <w:jc w:val="right"/>
              <w:rPr>
                <w:rFonts w:hint="eastAsia" w:ascii="方正书宋_GBK" w:eastAsia="方正书宋_GBK"/>
                <w:b/>
                <w:sz w:val="21"/>
                <w:szCs w:val="21"/>
              </w:rPr>
            </w:pPr>
          </w:p>
        </w:tc>
        <w:tc>
          <w:tcPr>
            <w:tcW w:w="1168" w:type="dxa"/>
            <w:shd w:val="clear" w:color="auto" w:fill="auto"/>
            <w:vAlign w:val="center"/>
          </w:tcPr>
          <w:p>
            <w:pPr>
              <w:spacing w:line="300" w:lineRule="exact"/>
              <w:jc w:val="right"/>
              <w:rPr>
                <w:rFonts w:hint="eastAsia" w:ascii="方正书宋_GBK" w:eastAsia="方正书宋_GBK"/>
                <w:b/>
                <w:sz w:val="21"/>
                <w:szCs w:val="21"/>
              </w:rPr>
            </w:pPr>
          </w:p>
        </w:tc>
        <w:tc>
          <w:tcPr>
            <w:tcW w:w="1168" w:type="dxa"/>
            <w:shd w:val="clear" w:color="auto" w:fill="auto"/>
            <w:vAlign w:val="center"/>
          </w:tcPr>
          <w:p>
            <w:pPr>
              <w:spacing w:line="300" w:lineRule="exact"/>
              <w:jc w:val="right"/>
              <w:rPr>
                <w:rFonts w:hint="eastAsia" w:ascii="方正书宋_GBK" w:eastAsia="方正书宋_GBK"/>
                <w:b/>
                <w:sz w:val="21"/>
                <w:szCs w:val="21"/>
              </w:rPr>
            </w:pPr>
          </w:p>
        </w:tc>
        <w:tc>
          <w:tcPr>
            <w:tcW w:w="1168" w:type="dxa"/>
            <w:shd w:val="clear" w:color="auto" w:fill="auto"/>
            <w:vAlign w:val="center"/>
          </w:tcPr>
          <w:p>
            <w:pPr>
              <w:spacing w:line="300" w:lineRule="exact"/>
              <w:jc w:val="right"/>
              <w:rPr>
                <w:rFonts w:hint="eastAsia" w:ascii="方正书宋_GBK" w:eastAsia="方正书宋_GBK"/>
                <w:b/>
                <w:sz w:val="21"/>
                <w:szCs w:val="21"/>
              </w:rPr>
            </w:pPr>
          </w:p>
        </w:tc>
        <w:tc>
          <w:tcPr>
            <w:tcW w:w="781" w:type="dxa"/>
            <w:shd w:val="clear" w:color="auto" w:fill="auto"/>
            <w:vAlign w:val="center"/>
          </w:tcPr>
          <w:p>
            <w:pPr>
              <w:spacing w:line="300" w:lineRule="exact"/>
              <w:jc w:val="right"/>
              <w:rPr>
                <w:rFonts w:hint="eastAsia" w:ascii="方正书宋_GBK" w:eastAsia="方正书宋_GBK"/>
                <w:b/>
                <w:sz w:val="21"/>
                <w:szCs w:val="21"/>
              </w:rPr>
            </w:pPr>
          </w:p>
        </w:tc>
        <w:tc>
          <w:tcPr>
            <w:tcW w:w="865" w:type="dxa"/>
            <w:shd w:val="clear" w:color="auto" w:fill="auto"/>
            <w:vAlign w:val="center"/>
          </w:tcPr>
          <w:p>
            <w:pPr>
              <w:spacing w:line="300" w:lineRule="exact"/>
              <w:jc w:val="right"/>
              <w:rPr>
                <w:rFonts w:hint="eastAsia" w:ascii="方正书宋_GBK" w:eastAsia="方正书宋_GBK"/>
                <w:b/>
                <w:sz w:val="21"/>
                <w:szCs w:val="21"/>
              </w:rPr>
            </w:pPr>
          </w:p>
        </w:tc>
        <w:tc>
          <w:tcPr>
            <w:tcW w:w="868" w:type="dxa"/>
            <w:shd w:val="clear" w:color="auto" w:fill="auto"/>
            <w:vAlign w:val="center"/>
          </w:tcPr>
          <w:p>
            <w:pPr>
              <w:spacing w:line="300" w:lineRule="exact"/>
              <w:jc w:val="right"/>
              <w:rPr>
                <w:rFonts w:hint="eastAsia" w:ascii="方正书宋_GBK" w:eastAsia="方正书宋_GBK"/>
                <w:b/>
                <w:sz w:val="21"/>
                <w:szCs w:val="21"/>
              </w:rPr>
            </w:pPr>
          </w:p>
        </w:tc>
        <w:tc>
          <w:tcPr>
            <w:tcW w:w="822" w:type="dxa"/>
            <w:shd w:val="clear" w:color="auto" w:fill="auto"/>
            <w:vAlign w:val="center"/>
          </w:tcPr>
          <w:p>
            <w:pPr>
              <w:spacing w:line="300" w:lineRule="exact"/>
              <w:jc w:val="right"/>
              <w:rPr>
                <w:rFonts w:hint="eastAsia" w:ascii="方正书宋_GBK" w:eastAsia="方正书宋_GBK"/>
                <w:b/>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8" w:type="dxa"/>
            <w:shd w:val="clear" w:color="auto" w:fill="auto"/>
            <w:vAlign w:val="center"/>
          </w:tcPr>
          <w:p>
            <w:pPr>
              <w:spacing w:line="300" w:lineRule="exact"/>
              <w:jc w:val="center"/>
              <w:rPr>
                <w:rFonts w:hint="eastAsia" w:ascii="方正书宋_GBK" w:eastAsia="方正书宋_GBK"/>
                <w:b/>
                <w:sz w:val="21"/>
                <w:szCs w:val="21"/>
              </w:rPr>
            </w:pPr>
            <w:r>
              <w:rPr>
                <w:rFonts w:hint="eastAsia" w:asciiTheme="majorEastAsia" w:hAnsiTheme="majorEastAsia" w:eastAsiaTheme="majorEastAsia" w:cstheme="majorEastAsia"/>
                <w:b/>
                <w:sz w:val="18"/>
                <w:szCs w:val="18"/>
                <w:highlight w:val="none"/>
              </w:rPr>
              <w:t>留楚乡</w:t>
            </w:r>
            <w:r>
              <w:rPr>
                <w:rFonts w:hint="eastAsia" w:asciiTheme="majorEastAsia" w:hAnsiTheme="majorEastAsia" w:eastAsiaTheme="majorEastAsia" w:cstheme="majorEastAsia"/>
                <w:b/>
                <w:sz w:val="18"/>
                <w:szCs w:val="18"/>
                <w:highlight w:val="none"/>
                <w:lang w:eastAsia="zh-CN"/>
              </w:rPr>
              <w:t>人民政府</w:t>
            </w:r>
            <w:r>
              <w:rPr>
                <w:rFonts w:hint="eastAsia" w:ascii="方正书宋_GBK" w:eastAsia="方正书宋_GBK"/>
                <w:b/>
                <w:sz w:val="21"/>
                <w:szCs w:val="21"/>
              </w:rPr>
              <w:t>小计</w:t>
            </w:r>
          </w:p>
        </w:tc>
        <w:tc>
          <w:tcPr>
            <w:tcW w:w="1267" w:type="dxa"/>
            <w:shd w:val="clear" w:color="auto" w:fill="auto"/>
            <w:vAlign w:val="center"/>
          </w:tcPr>
          <w:p>
            <w:pPr>
              <w:spacing w:line="300" w:lineRule="exact"/>
              <w:jc w:val="right"/>
              <w:rPr>
                <w:rFonts w:hint="eastAsia" w:ascii="方正书宋_GBK" w:eastAsia="方正书宋_GBK"/>
                <w:b/>
                <w:sz w:val="21"/>
                <w:szCs w:val="21"/>
              </w:rPr>
            </w:pPr>
          </w:p>
        </w:tc>
        <w:tc>
          <w:tcPr>
            <w:tcW w:w="874" w:type="dxa"/>
            <w:shd w:val="clear" w:color="auto" w:fill="auto"/>
            <w:vAlign w:val="center"/>
          </w:tcPr>
          <w:p>
            <w:pPr>
              <w:spacing w:line="300" w:lineRule="exact"/>
              <w:jc w:val="left"/>
              <w:rPr>
                <w:rFonts w:hint="eastAsia" w:ascii="方正书宋_GBK" w:eastAsia="方正书宋_GBK"/>
                <w:b/>
                <w:sz w:val="21"/>
                <w:szCs w:val="21"/>
              </w:rPr>
            </w:pPr>
          </w:p>
        </w:tc>
        <w:tc>
          <w:tcPr>
            <w:tcW w:w="951" w:type="dxa"/>
            <w:shd w:val="clear" w:color="auto" w:fill="auto"/>
            <w:vAlign w:val="center"/>
          </w:tcPr>
          <w:p>
            <w:pPr>
              <w:spacing w:line="300" w:lineRule="exact"/>
              <w:jc w:val="left"/>
              <w:rPr>
                <w:rFonts w:hint="eastAsia" w:ascii="方正书宋_GBK" w:eastAsia="方正书宋_GBK"/>
                <w:b/>
                <w:sz w:val="21"/>
                <w:szCs w:val="21"/>
              </w:rPr>
            </w:pPr>
          </w:p>
        </w:tc>
        <w:tc>
          <w:tcPr>
            <w:tcW w:w="597" w:type="dxa"/>
            <w:shd w:val="clear" w:color="auto" w:fill="auto"/>
            <w:vAlign w:val="center"/>
          </w:tcPr>
          <w:p>
            <w:pPr>
              <w:spacing w:line="300" w:lineRule="exact"/>
              <w:jc w:val="left"/>
              <w:rPr>
                <w:rFonts w:hint="eastAsia" w:ascii="方正书宋_GBK" w:eastAsia="方正书宋_GBK"/>
                <w:b/>
                <w:sz w:val="21"/>
                <w:szCs w:val="21"/>
              </w:rPr>
            </w:pPr>
          </w:p>
        </w:tc>
        <w:tc>
          <w:tcPr>
            <w:tcW w:w="741" w:type="dxa"/>
            <w:shd w:val="clear" w:color="auto" w:fill="auto"/>
            <w:vAlign w:val="center"/>
          </w:tcPr>
          <w:p>
            <w:pPr>
              <w:spacing w:line="300" w:lineRule="exact"/>
              <w:jc w:val="right"/>
              <w:rPr>
                <w:rFonts w:hint="eastAsia" w:ascii="方正书宋_GBK" w:eastAsia="方正书宋_GBK"/>
                <w:b/>
                <w:sz w:val="21"/>
                <w:szCs w:val="21"/>
              </w:rPr>
            </w:pPr>
          </w:p>
        </w:tc>
        <w:tc>
          <w:tcPr>
            <w:tcW w:w="950" w:type="dxa"/>
            <w:shd w:val="clear" w:color="auto" w:fill="auto"/>
            <w:vAlign w:val="center"/>
          </w:tcPr>
          <w:p>
            <w:pPr>
              <w:spacing w:line="300" w:lineRule="exact"/>
              <w:jc w:val="right"/>
              <w:rPr>
                <w:rFonts w:hint="eastAsia" w:ascii="方正书宋_GBK" w:eastAsia="方正书宋_GBK"/>
                <w:b/>
                <w:sz w:val="21"/>
                <w:szCs w:val="21"/>
              </w:rPr>
            </w:pPr>
          </w:p>
        </w:tc>
        <w:tc>
          <w:tcPr>
            <w:tcW w:w="1168" w:type="dxa"/>
            <w:shd w:val="clear" w:color="auto" w:fill="auto"/>
            <w:vAlign w:val="center"/>
          </w:tcPr>
          <w:p>
            <w:pPr>
              <w:spacing w:line="300" w:lineRule="exact"/>
              <w:jc w:val="right"/>
              <w:rPr>
                <w:rFonts w:hint="eastAsia" w:ascii="方正书宋_GBK" w:eastAsia="方正书宋_GBK"/>
                <w:b/>
                <w:sz w:val="21"/>
                <w:szCs w:val="21"/>
              </w:rPr>
            </w:pPr>
          </w:p>
        </w:tc>
        <w:tc>
          <w:tcPr>
            <w:tcW w:w="1168" w:type="dxa"/>
            <w:shd w:val="clear" w:color="auto" w:fill="auto"/>
            <w:vAlign w:val="center"/>
          </w:tcPr>
          <w:p>
            <w:pPr>
              <w:spacing w:line="300" w:lineRule="exact"/>
              <w:jc w:val="right"/>
              <w:rPr>
                <w:rFonts w:hint="eastAsia" w:ascii="方正书宋_GBK" w:eastAsia="方正书宋_GBK"/>
                <w:b/>
                <w:sz w:val="21"/>
                <w:szCs w:val="21"/>
              </w:rPr>
            </w:pPr>
          </w:p>
        </w:tc>
        <w:tc>
          <w:tcPr>
            <w:tcW w:w="1168" w:type="dxa"/>
            <w:shd w:val="clear" w:color="auto" w:fill="auto"/>
            <w:vAlign w:val="center"/>
          </w:tcPr>
          <w:p>
            <w:pPr>
              <w:spacing w:line="300" w:lineRule="exact"/>
              <w:jc w:val="right"/>
              <w:rPr>
                <w:rFonts w:hint="eastAsia" w:ascii="方正书宋_GBK" w:eastAsia="方正书宋_GBK"/>
                <w:b/>
                <w:sz w:val="21"/>
                <w:szCs w:val="21"/>
              </w:rPr>
            </w:pPr>
          </w:p>
        </w:tc>
        <w:tc>
          <w:tcPr>
            <w:tcW w:w="781" w:type="dxa"/>
            <w:shd w:val="clear" w:color="auto" w:fill="auto"/>
            <w:vAlign w:val="center"/>
          </w:tcPr>
          <w:p>
            <w:pPr>
              <w:spacing w:line="300" w:lineRule="exact"/>
              <w:jc w:val="right"/>
              <w:rPr>
                <w:rFonts w:hint="eastAsia" w:ascii="方正书宋_GBK" w:eastAsia="方正书宋_GBK"/>
                <w:b/>
                <w:sz w:val="21"/>
                <w:szCs w:val="21"/>
              </w:rPr>
            </w:pPr>
          </w:p>
        </w:tc>
        <w:tc>
          <w:tcPr>
            <w:tcW w:w="865" w:type="dxa"/>
            <w:shd w:val="clear" w:color="auto" w:fill="auto"/>
            <w:vAlign w:val="center"/>
          </w:tcPr>
          <w:p>
            <w:pPr>
              <w:spacing w:line="300" w:lineRule="exact"/>
              <w:jc w:val="right"/>
              <w:rPr>
                <w:rFonts w:hint="eastAsia" w:ascii="方正书宋_GBK" w:eastAsia="方正书宋_GBK"/>
                <w:b/>
                <w:sz w:val="21"/>
                <w:szCs w:val="21"/>
              </w:rPr>
            </w:pPr>
          </w:p>
        </w:tc>
        <w:tc>
          <w:tcPr>
            <w:tcW w:w="868" w:type="dxa"/>
            <w:shd w:val="clear" w:color="auto" w:fill="auto"/>
            <w:vAlign w:val="center"/>
          </w:tcPr>
          <w:p>
            <w:pPr>
              <w:spacing w:line="300" w:lineRule="exact"/>
              <w:jc w:val="right"/>
              <w:rPr>
                <w:rFonts w:hint="eastAsia" w:ascii="方正书宋_GBK" w:eastAsia="方正书宋_GBK"/>
                <w:b/>
                <w:sz w:val="21"/>
                <w:szCs w:val="21"/>
              </w:rPr>
            </w:pPr>
          </w:p>
        </w:tc>
        <w:tc>
          <w:tcPr>
            <w:tcW w:w="822" w:type="dxa"/>
            <w:shd w:val="clear" w:color="auto" w:fill="auto"/>
            <w:vAlign w:val="center"/>
          </w:tcPr>
          <w:p>
            <w:pPr>
              <w:spacing w:line="300" w:lineRule="exact"/>
              <w:jc w:val="right"/>
              <w:rPr>
                <w:rFonts w:hint="eastAsia" w:ascii="方正书宋_GBK" w:eastAsia="方正书宋_GBK"/>
                <w:b/>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8" w:type="dxa"/>
            <w:shd w:val="clear" w:color="auto" w:fill="auto"/>
            <w:vAlign w:val="center"/>
          </w:tcPr>
          <w:p>
            <w:pPr>
              <w:spacing w:line="300" w:lineRule="exact"/>
              <w:jc w:val="left"/>
              <w:rPr>
                <w:rFonts w:hint="eastAsia" w:ascii="方正书宋_GBK" w:eastAsia="方正书宋_GBK"/>
                <w:sz w:val="21"/>
                <w:szCs w:val="21"/>
              </w:rPr>
            </w:pPr>
          </w:p>
        </w:tc>
        <w:tc>
          <w:tcPr>
            <w:tcW w:w="1267" w:type="dxa"/>
            <w:shd w:val="clear" w:color="auto" w:fill="auto"/>
            <w:vAlign w:val="center"/>
          </w:tcPr>
          <w:p>
            <w:pPr>
              <w:spacing w:line="300" w:lineRule="exact"/>
              <w:jc w:val="right"/>
              <w:rPr>
                <w:rFonts w:hint="eastAsia" w:ascii="方正书宋_GBK" w:eastAsia="方正书宋_GBK"/>
                <w:sz w:val="21"/>
                <w:szCs w:val="21"/>
              </w:rPr>
            </w:pPr>
          </w:p>
        </w:tc>
        <w:tc>
          <w:tcPr>
            <w:tcW w:w="874" w:type="dxa"/>
            <w:shd w:val="clear" w:color="auto" w:fill="auto"/>
            <w:vAlign w:val="center"/>
          </w:tcPr>
          <w:p>
            <w:pPr>
              <w:spacing w:line="300" w:lineRule="exact"/>
              <w:jc w:val="left"/>
              <w:rPr>
                <w:rFonts w:hint="eastAsia" w:ascii="方正书宋_GBK" w:eastAsia="方正书宋_GBK"/>
                <w:sz w:val="21"/>
                <w:szCs w:val="21"/>
              </w:rPr>
            </w:pPr>
          </w:p>
        </w:tc>
        <w:tc>
          <w:tcPr>
            <w:tcW w:w="951" w:type="dxa"/>
            <w:shd w:val="clear" w:color="auto" w:fill="auto"/>
            <w:vAlign w:val="center"/>
          </w:tcPr>
          <w:p>
            <w:pPr>
              <w:spacing w:line="300" w:lineRule="exact"/>
              <w:jc w:val="left"/>
              <w:rPr>
                <w:rFonts w:hint="eastAsia" w:ascii="方正书宋_GBK" w:eastAsia="方正书宋_GBK"/>
                <w:sz w:val="21"/>
                <w:szCs w:val="21"/>
              </w:rPr>
            </w:pPr>
          </w:p>
        </w:tc>
        <w:tc>
          <w:tcPr>
            <w:tcW w:w="597" w:type="dxa"/>
            <w:shd w:val="clear" w:color="auto" w:fill="auto"/>
            <w:vAlign w:val="center"/>
          </w:tcPr>
          <w:p>
            <w:pPr>
              <w:spacing w:line="300" w:lineRule="exact"/>
              <w:jc w:val="left"/>
              <w:rPr>
                <w:rFonts w:hint="eastAsia" w:ascii="方正书宋_GBK" w:eastAsia="方正书宋_GBK"/>
                <w:sz w:val="21"/>
                <w:szCs w:val="21"/>
              </w:rPr>
            </w:pPr>
          </w:p>
        </w:tc>
        <w:tc>
          <w:tcPr>
            <w:tcW w:w="741" w:type="dxa"/>
            <w:shd w:val="clear" w:color="auto" w:fill="auto"/>
            <w:vAlign w:val="center"/>
          </w:tcPr>
          <w:p>
            <w:pPr>
              <w:spacing w:line="300" w:lineRule="exact"/>
              <w:jc w:val="right"/>
              <w:rPr>
                <w:rFonts w:hint="eastAsia" w:ascii="方正书宋_GBK" w:eastAsia="方正书宋_GBK"/>
                <w:sz w:val="21"/>
                <w:szCs w:val="21"/>
              </w:rPr>
            </w:pPr>
          </w:p>
        </w:tc>
        <w:tc>
          <w:tcPr>
            <w:tcW w:w="950" w:type="dxa"/>
            <w:shd w:val="clear" w:color="auto" w:fill="auto"/>
            <w:vAlign w:val="center"/>
          </w:tcPr>
          <w:p>
            <w:pPr>
              <w:spacing w:line="300" w:lineRule="exact"/>
              <w:jc w:val="right"/>
              <w:rPr>
                <w:rFonts w:hint="eastAsia" w:ascii="方正书宋_GBK" w:eastAsia="方正书宋_GBK"/>
                <w:sz w:val="21"/>
                <w:szCs w:val="21"/>
              </w:rPr>
            </w:pPr>
          </w:p>
        </w:tc>
        <w:tc>
          <w:tcPr>
            <w:tcW w:w="1168" w:type="dxa"/>
            <w:shd w:val="clear" w:color="auto" w:fill="auto"/>
            <w:vAlign w:val="center"/>
          </w:tcPr>
          <w:p>
            <w:pPr>
              <w:spacing w:line="300" w:lineRule="exact"/>
              <w:jc w:val="right"/>
              <w:rPr>
                <w:rFonts w:hint="eastAsia" w:ascii="方正书宋_GBK" w:eastAsia="方正书宋_GBK"/>
                <w:sz w:val="21"/>
                <w:szCs w:val="21"/>
              </w:rPr>
            </w:pPr>
          </w:p>
        </w:tc>
        <w:tc>
          <w:tcPr>
            <w:tcW w:w="1168" w:type="dxa"/>
            <w:shd w:val="clear" w:color="auto" w:fill="auto"/>
            <w:vAlign w:val="center"/>
          </w:tcPr>
          <w:p>
            <w:pPr>
              <w:spacing w:line="300" w:lineRule="exact"/>
              <w:jc w:val="right"/>
              <w:rPr>
                <w:rFonts w:hint="eastAsia" w:ascii="方正书宋_GBK" w:eastAsia="方正书宋_GBK"/>
                <w:sz w:val="21"/>
                <w:szCs w:val="21"/>
              </w:rPr>
            </w:pPr>
          </w:p>
        </w:tc>
        <w:tc>
          <w:tcPr>
            <w:tcW w:w="1168" w:type="dxa"/>
            <w:shd w:val="clear" w:color="auto" w:fill="auto"/>
            <w:vAlign w:val="center"/>
          </w:tcPr>
          <w:p>
            <w:pPr>
              <w:spacing w:line="300" w:lineRule="exact"/>
              <w:jc w:val="right"/>
              <w:rPr>
                <w:rFonts w:hint="eastAsia" w:ascii="方正书宋_GBK" w:eastAsia="方正书宋_GBK"/>
                <w:sz w:val="21"/>
                <w:szCs w:val="21"/>
              </w:rPr>
            </w:pPr>
          </w:p>
        </w:tc>
        <w:tc>
          <w:tcPr>
            <w:tcW w:w="781" w:type="dxa"/>
            <w:shd w:val="clear" w:color="auto" w:fill="auto"/>
            <w:vAlign w:val="center"/>
          </w:tcPr>
          <w:p>
            <w:pPr>
              <w:spacing w:line="300" w:lineRule="exact"/>
              <w:jc w:val="right"/>
              <w:rPr>
                <w:rFonts w:hint="eastAsia" w:ascii="方正书宋_GBK" w:eastAsia="方正书宋_GBK"/>
                <w:sz w:val="21"/>
                <w:szCs w:val="21"/>
              </w:rPr>
            </w:pPr>
          </w:p>
        </w:tc>
        <w:tc>
          <w:tcPr>
            <w:tcW w:w="865" w:type="dxa"/>
            <w:shd w:val="clear" w:color="auto" w:fill="auto"/>
            <w:vAlign w:val="center"/>
          </w:tcPr>
          <w:p>
            <w:pPr>
              <w:spacing w:line="300" w:lineRule="exact"/>
              <w:jc w:val="right"/>
              <w:rPr>
                <w:rFonts w:hint="eastAsia" w:ascii="方正书宋_GBK" w:eastAsia="方正书宋_GBK"/>
                <w:sz w:val="21"/>
                <w:szCs w:val="21"/>
              </w:rPr>
            </w:pPr>
          </w:p>
        </w:tc>
        <w:tc>
          <w:tcPr>
            <w:tcW w:w="868" w:type="dxa"/>
            <w:shd w:val="clear" w:color="auto" w:fill="auto"/>
            <w:vAlign w:val="center"/>
          </w:tcPr>
          <w:p>
            <w:pPr>
              <w:spacing w:line="300" w:lineRule="exact"/>
              <w:jc w:val="right"/>
              <w:rPr>
                <w:rFonts w:hint="eastAsia" w:ascii="方正书宋_GBK" w:eastAsia="方正书宋_GBK"/>
                <w:sz w:val="21"/>
                <w:szCs w:val="21"/>
              </w:rPr>
            </w:pPr>
          </w:p>
        </w:tc>
        <w:tc>
          <w:tcPr>
            <w:tcW w:w="822" w:type="dxa"/>
            <w:shd w:val="clear" w:color="auto" w:fill="auto"/>
            <w:vAlign w:val="center"/>
          </w:tcPr>
          <w:p>
            <w:pPr>
              <w:spacing w:line="300" w:lineRule="exact"/>
              <w:jc w:val="right"/>
              <w:rPr>
                <w:rFonts w:hint="eastAsia"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8" w:type="dxa"/>
            <w:shd w:val="clear" w:color="auto" w:fill="auto"/>
            <w:vAlign w:val="center"/>
          </w:tcPr>
          <w:p>
            <w:pPr>
              <w:spacing w:line="300" w:lineRule="exact"/>
              <w:jc w:val="left"/>
              <w:rPr>
                <w:rFonts w:hint="eastAsia" w:ascii="方正书宋_GBK" w:eastAsia="方正书宋_GBK"/>
                <w:sz w:val="21"/>
                <w:szCs w:val="21"/>
              </w:rPr>
            </w:pPr>
          </w:p>
        </w:tc>
        <w:tc>
          <w:tcPr>
            <w:tcW w:w="1267" w:type="dxa"/>
            <w:shd w:val="clear" w:color="auto" w:fill="auto"/>
            <w:vAlign w:val="center"/>
          </w:tcPr>
          <w:p>
            <w:pPr>
              <w:spacing w:line="300" w:lineRule="exact"/>
              <w:jc w:val="right"/>
              <w:rPr>
                <w:rFonts w:hint="eastAsia" w:ascii="方正书宋_GBK" w:eastAsia="方正书宋_GBK"/>
                <w:sz w:val="21"/>
                <w:szCs w:val="21"/>
              </w:rPr>
            </w:pPr>
          </w:p>
        </w:tc>
        <w:tc>
          <w:tcPr>
            <w:tcW w:w="874" w:type="dxa"/>
            <w:shd w:val="clear" w:color="auto" w:fill="auto"/>
            <w:vAlign w:val="center"/>
          </w:tcPr>
          <w:p>
            <w:pPr>
              <w:spacing w:line="300" w:lineRule="exact"/>
              <w:jc w:val="left"/>
              <w:rPr>
                <w:rFonts w:hint="eastAsia" w:ascii="方正书宋_GBK" w:eastAsia="方正书宋_GBK"/>
                <w:sz w:val="21"/>
                <w:szCs w:val="21"/>
              </w:rPr>
            </w:pPr>
          </w:p>
        </w:tc>
        <w:tc>
          <w:tcPr>
            <w:tcW w:w="951" w:type="dxa"/>
            <w:shd w:val="clear" w:color="auto" w:fill="auto"/>
            <w:vAlign w:val="center"/>
          </w:tcPr>
          <w:p>
            <w:pPr>
              <w:spacing w:line="300" w:lineRule="exact"/>
              <w:jc w:val="left"/>
              <w:rPr>
                <w:rFonts w:hint="eastAsia" w:ascii="方正书宋_GBK" w:eastAsia="方正书宋_GBK"/>
                <w:sz w:val="21"/>
                <w:szCs w:val="21"/>
              </w:rPr>
            </w:pPr>
          </w:p>
        </w:tc>
        <w:tc>
          <w:tcPr>
            <w:tcW w:w="597" w:type="dxa"/>
            <w:shd w:val="clear" w:color="auto" w:fill="auto"/>
            <w:vAlign w:val="center"/>
          </w:tcPr>
          <w:p>
            <w:pPr>
              <w:spacing w:line="300" w:lineRule="exact"/>
              <w:jc w:val="left"/>
              <w:rPr>
                <w:rFonts w:hint="eastAsia" w:ascii="方正书宋_GBK" w:eastAsia="方正书宋_GBK"/>
                <w:sz w:val="21"/>
                <w:szCs w:val="21"/>
              </w:rPr>
            </w:pPr>
          </w:p>
        </w:tc>
        <w:tc>
          <w:tcPr>
            <w:tcW w:w="741" w:type="dxa"/>
            <w:shd w:val="clear" w:color="auto" w:fill="auto"/>
            <w:vAlign w:val="center"/>
          </w:tcPr>
          <w:p>
            <w:pPr>
              <w:spacing w:line="300" w:lineRule="exact"/>
              <w:jc w:val="right"/>
              <w:rPr>
                <w:rFonts w:hint="eastAsia" w:ascii="方正书宋_GBK" w:eastAsia="方正书宋_GBK"/>
                <w:sz w:val="21"/>
                <w:szCs w:val="21"/>
              </w:rPr>
            </w:pPr>
          </w:p>
        </w:tc>
        <w:tc>
          <w:tcPr>
            <w:tcW w:w="950" w:type="dxa"/>
            <w:shd w:val="clear" w:color="auto" w:fill="auto"/>
            <w:vAlign w:val="center"/>
          </w:tcPr>
          <w:p>
            <w:pPr>
              <w:spacing w:line="300" w:lineRule="exact"/>
              <w:jc w:val="right"/>
              <w:rPr>
                <w:rFonts w:hint="eastAsia" w:ascii="方正书宋_GBK" w:eastAsia="方正书宋_GBK"/>
                <w:sz w:val="21"/>
                <w:szCs w:val="21"/>
              </w:rPr>
            </w:pPr>
          </w:p>
        </w:tc>
        <w:tc>
          <w:tcPr>
            <w:tcW w:w="1168" w:type="dxa"/>
            <w:shd w:val="clear" w:color="auto" w:fill="auto"/>
            <w:vAlign w:val="center"/>
          </w:tcPr>
          <w:p>
            <w:pPr>
              <w:spacing w:line="300" w:lineRule="exact"/>
              <w:jc w:val="right"/>
              <w:rPr>
                <w:rFonts w:hint="eastAsia" w:ascii="方正书宋_GBK" w:eastAsia="方正书宋_GBK"/>
                <w:sz w:val="21"/>
                <w:szCs w:val="21"/>
              </w:rPr>
            </w:pPr>
          </w:p>
        </w:tc>
        <w:tc>
          <w:tcPr>
            <w:tcW w:w="1168" w:type="dxa"/>
            <w:shd w:val="clear" w:color="auto" w:fill="auto"/>
            <w:vAlign w:val="center"/>
          </w:tcPr>
          <w:p>
            <w:pPr>
              <w:spacing w:line="300" w:lineRule="exact"/>
              <w:jc w:val="right"/>
              <w:rPr>
                <w:rFonts w:hint="eastAsia" w:ascii="方正书宋_GBK" w:eastAsia="方正书宋_GBK"/>
                <w:sz w:val="21"/>
                <w:szCs w:val="21"/>
              </w:rPr>
            </w:pPr>
          </w:p>
        </w:tc>
        <w:tc>
          <w:tcPr>
            <w:tcW w:w="1168" w:type="dxa"/>
            <w:shd w:val="clear" w:color="auto" w:fill="auto"/>
            <w:vAlign w:val="center"/>
          </w:tcPr>
          <w:p>
            <w:pPr>
              <w:spacing w:line="300" w:lineRule="exact"/>
              <w:jc w:val="right"/>
              <w:rPr>
                <w:rFonts w:hint="eastAsia" w:ascii="方正书宋_GBK" w:eastAsia="方正书宋_GBK"/>
                <w:sz w:val="21"/>
                <w:szCs w:val="21"/>
              </w:rPr>
            </w:pPr>
          </w:p>
        </w:tc>
        <w:tc>
          <w:tcPr>
            <w:tcW w:w="781" w:type="dxa"/>
            <w:shd w:val="clear" w:color="auto" w:fill="auto"/>
            <w:vAlign w:val="center"/>
          </w:tcPr>
          <w:p>
            <w:pPr>
              <w:spacing w:line="300" w:lineRule="exact"/>
              <w:jc w:val="right"/>
              <w:rPr>
                <w:rFonts w:hint="eastAsia" w:ascii="方正书宋_GBK" w:eastAsia="方正书宋_GBK"/>
                <w:sz w:val="21"/>
                <w:szCs w:val="21"/>
              </w:rPr>
            </w:pPr>
          </w:p>
        </w:tc>
        <w:tc>
          <w:tcPr>
            <w:tcW w:w="865" w:type="dxa"/>
            <w:shd w:val="clear" w:color="auto" w:fill="auto"/>
            <w:vAlign w:val="center"/>
          </w:tcPr>
          <w:p>
            <w:pPr>
              <w:spacing w:line="300" w:lineRule="exact"/>
              <w:jc w:val="right"/>
              <w:rPr>
                <w:rFonts w:hint="eastAsia" w:ascii="方正书宋_GBK" w:eastAsia="方正书宋_GBK"/>
                <w:sz w:val="21"/>
                <w:szCs w:val="21"/>
              </w:rPr>
            </w:pPr>
          </w:p>
        </w:tc>
        <w:tc>
          <w:tcPr>
            <w:tcW w:w="868" w:type="dxa"/>
            <w:shd w:val="clear" w:color="auto" w:fill="auto"/>
            <w:vAlign w:val="center"/>
          </w:tcPr>
          <w:p>
            <w:pPr>
              <w:spacing w:line="300" w:lineRule="exact"/>
              <w:jc w:val="right"/>
              <w:rPr>
                <w:rFonts w:hint="eastAsia" w:ascii="方正书宋_GBK" w:eastAsia="方正书宋_GBK"/>
                <w:sz w:val="21"/>
                <w:szCs w:val="21"/>
              </w:rPr>
            </w:pPr>
          </w:p>
        </w:tc>
        <w:tc>
          <w:tcPr>
            <w:tcW w:w="822" w:type="dxa"/>
            <w:shd w:val="clear" w:color="auto" w:fill="auto"/>
            <w:vAlign w:val="center"/>
          </w:tcPr>
          <w:p>
            <w:pPr>
              <w:spacing w:line="300" w:lineRule="exact"/>
              <w:jc w:val="right"/>
              <w:rPr>
                <w:rFonts w:hint="eastAsia"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8" w:type="dxa"/>
            <w:shd w:val="clear" w:color="auto" w:fill="auto"/>
            <w:vAlign w:val="center"/>
          </w:tcPr>
          <w:p>
            <w:pPr>
              <w:spacing w:line="300" w:lineRule="exact"/>
              <w:jc w:val="left"/>
              <w:rPr>
                <w:rFonts w:hint="eastAsia" w:ascii="方正书宋_GBK" w:eastAsia="方正书宋_GBK"/>
                <w:sz w:val="21"/>
                <w:szCs w:val="21"/>
              </w:rPr>
            </w:pPr>
          </w:p>
        </w:tc>
        <w:tc>
          <w:tcPr>
            <w:tcW w:w="1267" w:type="dxa"/>
            <w:shd w:val="clear" w:color="auto" w:fill="auto"/>
            <w:vAlign w:val="center"/>
          </w:tcPr>
          <w:p>
            <w:pPr>
              <w:spacing w:line="300" w:lineRule="exact"/>
              <w:jc w:val="right"/>
              <w:rPr>
                <w:rFonts w:hint="eastAsia" w:ascii="方正书宋_GBK" w:eastAsia="方正书宋_GBK"/>
                <w:sz w:val="21"/>
                <w:szCs w:val="21"/>
              </w:rPr>
            </w:pPr>
          </w:p>
        </w:tc>
        <w:tc>
          <w:tcPr>
            <w:tcW w:w="874" w:type="dxa"/>
            <w:shd w:val="clear" w:color="auto" w:fill="auto"/>
            <w:vAlign w:val="center"/>
          </w:tcPr>
          <w:p>
            <w:pPr>
              <w:spacing w:line="300" w:lineRule="exact"/>
              <w:jc w:val="left"/>
              <w:rPr>
                <w:rFonts w:hint="eastAsia" w:ascii="方正书宋_GBK" w:eastAsia="方正书宋_GBK"/>
                <w:sz w:val="21"/>
                <w:szCs w:val="21"/>
              </w:rPr>
            </w:pPr>
          </w:p>
        </w:tc>
        <w:tc>
          <w:tcPr>
            <w:tcW w:w="951" w:type="dxa"/>
            <w:shd w:val="clear" w:color="auto" w:fill="auto"/>
            <w:vAlign w:val="center"/>
          </w:tcPr>
          <w:p>
            <w:pPr>
              <w:spacing w:line="300" w:lineRule="exact"/>
              <w:jc w:val="left"/>
              <w:rPr>
                <w:rFonts w:hint="eastAsia" w:ascii="方正书宋_GBK" w:eastAsia="方正书宋_GBK"/>
                <w:sz w:val="21"/>
                <w:szCs w:val="21"/>
              </w:rPr>
            </w:pPr>
          </w:p>
        </w:tc>
        <w:tc>
          <w:tcPr>
            <w:tcW w:w="597" w:type="dxa"/>
            <w:shd w:val="clear" w:color="auto" w:fill="auto"/>
            <w:vAlign w:val="center"/>
          </w:tcPr>
          <w:p>
            <w:pPr>
              <w:spacing w:line="300" w:lineRule="exact"/>
              <w:jc w:val="left"/>
              <w:rPr>
                <w:rFonts w:hint="eastAsia" w:ascii="方正书宋_GBK" w:eastAsia="方正书宋_GBK"/>
                <w:sz w:val="21"/>
                <w:szCs w:val="21"/>
              </w:rPr>
            </w:pPr>
          </w:p>
        </w:tc>
        <w:tc>
          <w:tcPr>
            <w:tcW w:w="741" w:type="dxa"/>
            <w:shd w:val="clear" w:color="auto" w:fill="auto"/>
            <w:vAlign w:val="center"/>
          </w:tcPr>
          <w:p>
            <w:pPr>
              <w:spacing w:line="300" w:lineRule="exact"/>
              <w:jc w:val="right"/>
              <w:rPr>
                <w:rFonts w:hint="eastAsia" w:ascii="方正书宋_GBK" w:eastAsia="方正书宋_GBK"/>
                <w:sz w:val="21"/>
                <w:szCs w:val="21"/>
              </w:rPr>
            </w:pPr>
          </w:p>
        </w:tc>
        <w:tc>
          <w:tcPr>
            <w:tcW w:w="950" w:type="dxa"/>
            <w:shd w:val="clear" w:color="auto" w:fill="auto"/>
            <w:vAlign w:val="center"/>
          </w:tcPr>
          <w:p>
            <w:pPr>
              <w:spacing w:line="300" w:lineRule="exact"/>
              <w:jc w:val="right"/>
              <w:rPr>
                <w:rFonts w:hint="eastAsia" w:ascii="方正书宋_GBK" w:eastAsia="方正书宋_GBK"/>
                <w:sz w:val="21"/>
                <w:szCs w:val="21"/>
              </w:rPr>
            </w:pPr>
          </w:p>
        </w:tc>
        <w:tc>
          <w:tcPr>
            <w:tcW w:w="1168" w:type="dxa"/>
            <w:shd w:val="clear" w:color="auto" w:fill="auto"/>
            <w:vAlign w:val="center"/>
          </w:tcPr>
          <w:p>
            <w:pPr>
              <w:spacing w:line="300" w:lineRule="exact"/>
              <w:jc w:val="right"/>
              <w:rPr>
                <w:rFonts w:hint="eastAsia" w:ascii="方正书宋_GBK" w:eastAsia="方正书宋_GBK"/>
                <w:sz w:val="21"/>
                <w:szCs w:val="21"/>
              </w:rPr>
            </w:pPr>
          </w:p>
        </w:tc>
        <w:tc>
          <w:tcPr>
            <w:tcW w:w="1168" w:type="dxa"/>
            <w:shd w:val="clear" w:color="auto" w:fill="auto"/>
            <w:vAlign w:val="center"/>
          </w:tcPr>
          <w:p>
            <w:pPr>
              <w:spacing w:line="300" w:lineRule="exact"/>
              <w:jc w:val="right"/>
              <w:rPr>
                <w:rFonts w:hint="eastAsia" w:ascii="方正书宋_GBK" w:eastAsia="方正书宋_GBK"/>
                <w:sz w:val="21"/>
                <w:szCs w:val="21"/>
              </w:rPr>
            </w:pPr>
          </w:p>
        </w:tc>
        <w:tc>
          <w:tcPr>
            <w:tcW w:w="1168" w:type="dxa"/>
            <w:shd w:val="clear" w:color="auto" w:fill="auto"/>
            <w:vAlign w:val="center"/>
          </w:tcPr>
          <w:p>
            <w:pPr>
              <w:spacing w:line="300" w:lineRule="exact"/>
              <w:jc w:val="right"/>
              <w:rPr>
                <w:rFonts w:hint="eastAsia" w:ascii="方正书宋_GBK" w:eastAsia="方正书宋_GBK"/>
                <w:sz w:val="21"/>
                <w:szCs w:val="21"/>
              </w:rPr>
            </w:pPr>
          </w:p>
        </w:tc>
        <w:tc>
          <w:tcPr>
            <w:tcW w:w="781" w:type="dxa"/>
            <w:shd w:val="clear" w:color="auto" w:fill="auto"/>
            <w:vAlign w:val="center"/>
          </w:tcPr>
          <w:p>
            <w:pPr>
              <w:spacing w:line="300" w:lineRule="exact"/>
              <w:jc w:val="right"/>
              <w:rPr>
                <w:rFonts w:hint="eastAsia" w:ascii="方正书宋_GBK" w:eastAsia="方正书宋_GBK"/>
                <w:sz w:val="21"/>
                <w:szCs w:val="21"/>
              </w:rPr>
            </w:pPr>
          </w:p>
        </w:tc>
        <w:tc>
          <w:tcPr>
            <w:tcW w:w="865" w:type="dxa"/>
            <w:shd w:val="clear" w:color="auto" w:fill="auto"/>
            <w:vAlign w:val="center"/>
          </w:tcPr>
          <w:p>
            <w:pPr>
              <w:spacing w:line="300" w:lineRule="exact"/>
              <w:jc w:val="right"/>
              <w:rPr>
                <w:rFonts w:hint="eastAsia" w:ascii="方正书宋_GBK" w:eastAsia="方正书宋_GBK"/>
                <w:sz w:val="21"/>
                <w:szCs w:val="21"/>
              </w:rPr>
            </w:pPr>
          </w:p>
        </w:tc>
        <w:tc>
          <w:tcPr>
            <w:tcW w:w="868" w:type="dxa"/>
            <w:shd w:val="clear" w:color="auto" w:fill="auto"/>
            <w:vAlign w:val="center"/>
          </w:tcPr>
          <w:p>
            <w:pPr>
              <w:spacing w:line="300" w:lineRule="exact"/>
              <w:jc w:val="right"/>
              <w:rPr>
                <w:rFonts w:hint="eastAsia" w:ascii="方正书宋_GBK" w:eastAsia="方正书宋_GBK"/>
                <w:sz w:val="21"/>
                <w:szCs w:val="21"/>
              </w:rPr>
            </w:pPr>
          </w:p>
        </w:tc>
        <w:tc>
          <w:tcPr>
            <w:tcW w:w="822" w:type="dxa"/>
            <w:shd w:val="clear" w:color="auto" w:fill="auto"/>
            <w:vAlign w:val="center"/>
          </w:tcPr>
          <w:p>
            <w:pPr>
              <w:spacing w:line="300" w:lineRule="exact"/>
              <w:jc w:val="right"/>
              <w:rPr>
                <w:rFonts w:hint="eastAsia"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8" w:type="dxa"/>
            <w:shd w:val="clear" w:color="auto" w:fill="auto"/>
            <w:vAlign w:val="center"/>
          </w:tcPr>
          <w:p>
            <w:pPr>
              <w:spacing w:line="300" w:lineRule="exact"/>
              <w:jc w:val="left"/>
              <w:rPr>
                <w:rFonts w:hint="eastAsia" w:ascii="方正书宋_GBK" w:eastAsia="方正书宋_GBK"/>
                <w:sz w:val="21"/>
                <w:szCs w:val="21"/>
              </w:rPr>
            </w:pPr>
          </w:p>
        </w:tc>
        <w:tc>
          <w:tcPr>
            <w:tcW w:w="1267" w:type="dxa"/>
            <w:shd w:val="clear" w:color="auto" w:fill="auto"/>
            <w:vAlign w:val="center"/>
          </w:tcPr>
          <w:p>
            <w:pPr>
              <w:spacing w:line="300" w:lineRule="exact"/>
              <w:jc w:val="right"/>
              <w:rPr>
                <w:rFonts w:hint="eastAsia" w:ascii="方正书宋_GBK" w:eastAsia="方正书宋_GBK"/>
                <w:sz w:val="21"/>
                <w:szCs w:val="21"/>
              </w:rPr>
            </w:pPr>
          </w:p>
        </w:tc>
        <w:tc>
          <w:tcPr>
            <w:tcW w:w="874" w:type="dxa"/>
            <w:shd w:val="clear" w:color="auto" w:fill="auto"/>
            <w:vAlign w:val="center"/>
          </w:tcPr>
          <w:p>
            <w:pPr>
              <w:spacing w:line="300" w:lineRule="exact"/>
              <w:jc w:val="left"/>
              <w:rPr>
                <w:rFonts w:hint="eastAsia" w:ascii="方正书宋_GBK" w:eastAsia="方正书宋_GBK"/>
                <w:sz w:val="21"/>
                <w:szCs w:val="21"/>
              </w:rPr>
            </w:pPr>
          </w:p>
        </w:tc>
        <w:tc>
          <w:tcPr>
            <w:tcW w:w="951" w:type="dxa"/>
            <w:shd w:val="clear" w:color="auto" w:fill="auto"/>
            <w:vAlign w:val="center"/>
          </w:tcPr>
          <w:p>
            <w:pPr>
              <w:spacing w:line="300" w:lineRule="exact"/>
              <w:jc w:val="left"/>
              <w:rPr>
                <w:rFonts w:hint="eastAsia" w:ascii="方正书宋_GBK" w:eastAsia="方正书宋_GBK"/>
                <w:sz w:val="21"/>
                <w:szCs w:val="21"/>
              </w:rPr>
            </w:pPr>
          </w:p>
        </w:tc>
        <w:tc>
          <w:tcPr>
            <w:tcW w:w="597" w:type="dxa"/>
            <w:shd w:val="clear" w:color="auto" w:fill="auto"/>
            <w:vAlign w:val="center"/>
          </w:tcPr>
          <w:p>
            <w:pPr>
              <w:spacing w:line="300" w:lineRule="exact"/>
              <w:jc w:val="left"/>
              <w:rPr>
                <w:rFonts w:hint="eastAsia" w:ascii="方正书宋_GBK" w:eastAsia="方正书宋_GBK"/>
                <w:sz w:val="21"/>
                <w:szCs w:val="21"/>
              </w:rPr>
            </w:pPr>
          </w:p>
        </w:tc>
        <w:tc>
          <w:tcPr>
            <w:tcW w:w="741" w:type="dxa"/>
            <w:shd w:val="clear" w:color="auto" w:fill="auto"/>
            <w:vAlign w:val="center"/>
          </w:tcPr>
          <w:p>
            <w:pPr>
              <w:spacing w:line="300" w:lineRule="exact"/>
              <w:jc w:val="right"/>
              <w:rPr>
                <w:rFonts w:hint="eastAsia" w:ascii="方正书宋_GBK" w:eastAsia="方正书宋_GBK"/>
                <w:sz w:val="21"/>
                <w:szCs w:val="21"/>
              </w:rPr>
            </w:pPr>
          </w:p>
        </w:tc>
        <w:tc>
          <w:tcPr>
            <w:tcW w:w="950" w:type="dxa"/>
            <w:shd w:val="clear" w:color="auto" w:fill="auto"/>
            <w:vAlign w:val="center"/>
          </w:tcPr>
          <w:p>
            <w:pPr>
              <w:spacing w:line="300" w:lineRule="exact"/>
              <w:jc w:val="right"/>
              <w:rPr>
                <w:rFonts w:hint="eastAsia" w:ascii="方正书宋_GBK" w:eastAsia="方正书宋_GBK"/>
                <w:sz w:val="21"/>
                <w:szCs w:val="21"/>
              </w:rPr>
            </w:pPr>
          </w:p>
        </w:tc>
        <w:tc>
          <w:tcPr>
            <w:tcW w:w="1168" w:type="dxa"/>
            <w:shd w:val="clear" w:color="auto" w:fill="auto"/>
            <w:vAlign w:val="center"/>
          </w:tcPr>
          <w:p>
            <w:pPr>
              <w:spacing w:line="300" w:lineRule="exact"/>
              <w:jc w:val="right"/>
              <w:rPr>
                <w:rFonts w:hint="eastAsia" w:ascii="方正书宋_GBK" w:eastAsia="方正书宋_GBK"/>
                <w:sz w:val="21"/>
                <w:szCs w:val="21"/>
              </w:rPr>
            </w:pPr>
          </w:p>
        </w:tc>
        <w:tc>
          <w:tcPr>
            <w:tcW w:w="1168" w:type="dxa"/>
            <w:shd w:val="clear" w:color="auto" w:fill="auto"/>
            <w:vAlign w:val="center"/>
          </w:tcPr>
          <w:p>
            <w:pPr>
              <w:spacing w:line="300" w:lineRule="exact"/>
              <w:jc w:val="right"/>
              <w:rPr>
                <w:rFonts w:hint="eastAsia" w:ascii="方正书宋_GBK" w:eastAsia="方正书宋_GBK"/>
                <w:sz w:val="21"/>
                <w:szCs w:val="21"/>
              </w:rPr>
            </w:pPr>
          </w:p>
        </w:tc>
        <w:tc>
          <w:tcPr>
            <w:tcW w:w="1168" w:type="dxa"/>
            <w:shd w:val="clear" w:color="auto" w:fill="auto"/>
            <w:vAlign w:val="center"/>
          </w:tcPr>
          <w:p>
            <w:pPr>
              <w:spacing w:line="300" w:lineRule="exact"/>
              <w:jc w:val="right"/>
              <w:rPr>
                <w:rFonts w:hint="eastAsia" w:ascii="方正书宋_GBK" w:eastAsia="方正书宋_GBK"/>
                <w:sz w:val="21"/>
                <w:szCs w:val="21"/>
              </w:rPr>
            </w:pPr>
          </w:p>
        </w:tc>
        <w:tc>
          <w:tcPr>
            <w:tcW w:w="781" w:type="dxa"/>
            <w:shd w:val="clear" w:color="auto" w:fill="auto"/>
            <w:vAlign w:val="center"/>
          </w:tcPr>
          <w:p>
            <w:pPr>
              <w:spacing w:line="300" w:lineRule="exact"/>
              <w:jc w:val="right"/>
              <w:rPr>
                <w:rFonts w:hint="eastAsia" w:ascii="方正书宋_GBK" w:eastAsia="方正书宋_GBK"/>
                <w:sz w:val="21"/>
                <w:szCs w:val="21"/>
              </w:rPr>
            </w:pPr>
          </w:p>
        </w:tc>
        <w:tc>
          <w:tcPr>
            <w:tcW w:w="865" w:type="dxa"/>
            <w:shd w:val="clear" w:color="auto" w:fill="auto"/>
            <w:vAlign w:val="center"/>
          </w:tcPr>
          <w:p>
            <w:pPr>
              <w:spacing w:line="300" w:lineRule="exact"/>
              <w:jc w:val="right"/>
              <w:rPr>
                <w:rFonts w:hint="eastAsia" w:ascii="方正书宋_GBK" w:eastAsia="方正书宋_GBK"/>
                <w:sz w:val="21"/>
                <w:szCs w:val="21"/>
              </w:rPr>
            </w:pPr>
          </w:p>
        </w:tc>
        <w:tc>
          <w:tcPr>
            <w:tcW w:w="868" w:type="dxa"/>
            <w:shd w:val="clear" w:color="auto" w:fill="auto"/>
            <w:vAlign w:val="center"/>
          </w:tcPr>
          <w:p>
            <w:pPr>
              <w:spacing w:line="300" w:lineRule="exact"/>
              <w:jc w:val="right"/>
              <w:rPr>
                <w:rFonts w:hint="eastAsia" w:ascii="方正书宋_GBK" w:eastAsia="方正书宋_GBK"/>
                <w:sz w:val="21"/>
                <w:szCs w:val="21"/>
              </w:rPr>
            </w:pPr>
          </w:p>
        </w:tc>
        <w:tc>
          <w:tcPr>
            <w:tcW w:w="822" w:type="dxa"/>
            <w:shd w:val="clear" w:color="auto" w:fill="auto"/>
            <w:vAlign w:val="center"/>
          </w:tcPr>
          <w:p>
            <w:pPr>
              <w:spacing w:line="300" w:lineRule="exact"/>
              <w:jc w:val="right"/>
              <w:rPr>
                <w:rFonts w:hint="eastAsia" w:ascii="方正书宋_GBK" w:eastAsia="方正书宋_GBK"/>
                <w:sz w:val="21"/>
                <w:szCs w:val="21"/>
              </w:rPr>
            </w:pPr>
          </w:p>
        </w:tc>
      </w:tr>
    </w:tbl>
    <w:p>
      <w:pPr>
        <w:spacing w:line="300" w:lineRule="exact"/>
        <w:jc w:val="left"/>
        <w:outlineLvl w:val="0"/>
        <w:rPr>
          <w:rFonts w:hint="eastAsia" w:cs="Times New Roman"/>
          <w:sz w:val="21"/>
          <w:szCs w:val="21"/>
          <w:highlight w:val="none"/>
        </w:rPr>
        <w:sectPr>
          <w:pgSz w:w="16839" w:h="11907" w:orient="landscape"/>
          <w:pgMar w:top="1361" w:right="1020" w:bottom="1361" w:left="1020" w:header="851" w:footer="992" w:gutter="0"/>
          <w:cols w:space="425" w:num="1"/>
          <w:docGrid w:type="lines" w:linePitch="312" w:charSpace="0"/>
        </w:sectPr>
      </w:pPr>
      <w:r>
        <w:rPr>
          <w:rFonts w:hint="eastAsia" w:cs="Times New Roman"/>
          <w:sz w:val="21"/>
          <w:szCs w:val="21"/>
          <w:highlight w:val="none"/>
        </w:rPr>
        <w:t>注：无政府采购预算，空表列示。</w:t>
      </w:r>
    </w:p>
    <w:p>
      <w:pPr>
        <w:ind w:firstLine="643" w:firstLineChars="200"/>
        <w:rPr>
          <w:rFonts w:hint="eastAsia" w:cs="Times New Roman"/>
          <w:b/>
          <w:bCs/>
        </w:rPr>
      </w:pPr>
      <w:r>
        <w:rPr>
          <w:b/>
          <w:bCs/>
        </w:rPr>
        <w:t>7</w:t>
      </w:r>
      <w:r>
        <w:rPr>
          <w:rFonts w:hint="eastAsia" w:cs="仿宋_GB2312"/>
          <w:b/>
          <w:bCs/>
        </w:rPr>
        <w:t>、国有资产信息</w:t>
      </w:r>
    </w:p>
    <w:p>
      <w:pPr>
        <w:ind w:firstLine="640" w:firstLineChars="200"/>
        <w:rPr>
          <w:rFonts w:hint="eastAsia" w:eastAsia="仿宋_GB2312"/>
          <w:highlight w:val="none"/>
          <w:lang w:eastAsia="zh-CN"/>
        </w:rPr>
      </w:pPr>
      <w:r>
        <w:rPr>
          <w:rFonts w:hint="eastAsia" w:ascii="仿宋" w:hAnsi="仿宋" w:eastAsia="仿宋" w:cs="仿宋"/>
          <w:sz w:val="32"/>
          <w:szCs w:val="32"/>
        </w:rPr>
        <w:t>我部门（含下属单位）</w:t>
      </w:r>
      <w:r>
        <w:t>上年末固定资产金额为</w:t>
      </w:r>
      <w:r>
        <w:rPr>
          <w:rFonts w:hint="eastAsia"/>
          <w:lang w:val="en-US" w:eastAsia="zh-CN"/>
        </w:rPr>
        <w:t>320.33</w:t>
      </w:r>
      <w:r>
        <w:t>万元（详见下表），本年度</w:t>
      </w:r>
      <w:r>
        <w:rPr>
          <w:highlight w:val="none"/>
        </w:rPr>
        <w:t>拟购置固定资产</w:t>
      </w:r>
      <w:r>
        <w:rPr>
          <w:rFonts w:hint="eastAsia"/>
          <w:highlight w:val="none"/>
          <w:lang w:val="en-US" w:eastAsia="zh-CN"/>
        </w:rPr>
        <w:t>0万元，</w:t>
      </w:r>
      <w:r>
        <w:rPr>
          <w:rFonts w:hint="eastAsia" w:cs="仿宋_GB2312"/>
          <w:highlight w:val="none"/>
        </w:rPr>
        <w:t>其中列入政府采购预算表</w:t>
      </w:r>
      <w:r>
        <w:rPr>
          <w:rFonts w:hint="eastAsia" w:cs="仿宋_GB2312"/>
          <w:highlight w:val="none"/>
          <w:lang w:val="en-US" w:eastAsia="zh-CN"/>
        </w:rPr>
        <w:t>0</w:t>
      </w:r>
      <w:r>
        <w:rPr>
          <w:rFonts w:hint="eastAsia" w:cs="仿宋_GB2312"/>
          <w:highlight w:val="none"/>
        </w:rPr>
        <w:t>万元</w:t>
      </w:r>
      <w:r>
        <w:rPr>
          <w:rFonts w:hint="eastAsia" w:cs="仿宋_GB2312"/>
          <w:highlight w:val="none"/>
          <w:lang w:eastAsia="zh-CN"/>
        </w:rPr>
        <w:t>。</w:t>
      </w:r>
      <w:r>
        <w:rPr>
          <w:rFonts w:hint="eastAsia"/>
        </w:rPr>
        <w:t>详见政府采购预算表。</w:t>
      </w:r>
    </w:p>
    <w:p>
      <w:pPr>
        <w:jc w:val="center"/>
        <w:rPr>
          <w:rFonts w:hint="eastAsia" w:ascii="方正小标宋简体" w:eastAsia="方正小标宋简体" w:cs="Times New Roman"/>
          <w:sz w:val="36"/>
          <w:szCs w:val="36"/>
        </w:rPr>
      </w:pPr>
      <w:r>
        <w:rPr>
          <w:rFonts w:hint="eastAsia" w:ascii="方正小标宋简体" w:eastAsia="方正小标宋简体" w:cs="方正小标宋简体"/>
          <w:sz w:val="36"/>
          <w:szCs w:val="36"/>
        </w:rPr>
        <w:t>饶阳县</w:t>
      </w:r>
      <w:r>
        <w:rPr>
          <w:rFonts w:hint="eastAsia" w:ascii="方正小标宋简体" w:eastAsia="方正小标宋简体" w:cs="方正小标宋简体"/>
          <w:sz w:val="36"/>
          <w:szCs w:val="36"/>
          <w:lang w:eastAsia="zh-CN"/>
        </w:rPr>
        <w:t>留楚乡人民政府</w:t>
      </w:r>
      <w:r>
        <w:rPr>
          <w:rFonts w:hint="eastAsia" w:ascii="方正小标宋简体" w:eastAsia="方正小标宋简体" w:cs="方正小标宋简体"/>
          <w:sz w:val="36"/>
          <w:szCs w:val="36"/>
        </w:rPr>
        <w:t>固定资产占用情况表</w:t>
      </w:r>
    </w:p>
    <w:p>
      <w:pPr>
        <w:jc w:val="left"/>
        <w:rPr>
          <w:rFonts w:hint="eastAsia" w:cs="Times New Roman"/>
          <w:sz w:val="28"/>
          <w:szCs w:val="28"/>
        </w:rPr>
      </w:pPr>
      <w:r>
        <w:rPr>
          <w:rFonts w:hint="eastAsia" w:cs="仿宋_GB2312"/>
          <w:sz w:val="28"/>
          <w:szCs w:val="28"/>
        </w:rPr>
        <w:t>编制部门：</w:t>
      </w:r>
      <w:r>
        <w:rPr>
          <w:rFonts w:hint="eastAsia"/>
          <w:color w:val="auto"/>
          <w:sz w:val="28"/>
          <w:szCs w:val="28"/>
          <w:lang w:eastAsia="zh-CN"/>
        </w:rPr>
        <w:t>留楚乡人民政府</w:t>
      </w:r>
      <w:r>
        <w:rPr>
          <w:color w:val="auto"/>
          <w:sz w:val="28"/>
          <w:szCs w:val="28"/>
        </w:rPr>
        <w:t xml:space="preserve"> </w:t>
      </w:r>
      <w:r>
        <w:rPr>
          <w:color w:val="FF0000"/>
          <w:sz w:val="28"/>
          <w:szCs w:val="28"/>
        </w:rPr>
        <w:t xml:space="preserve">       </w:t>
      </w:r>
      <w:r>
        <w:rPr>
          <w:rFonts w:hint="eastAsia" w:cs="仿宋_GB2312"/>
          <w:sz w:val="28"/>
          <w:szCs w:val="28"/>
        </w:rPr>
        <w:t>截止时间：</w:t>
      </w:r>
      <w:r>
        <w:rPr>
          <w:sz w:val="28"/>
          <w:szCs w:val="28"/>
        </w:rPr>
        <w:t>201</w:t>
      </w:r>
      <w:r>
        <w:rPr>
          <w:rFonts w:hint="eastAsia"/>
          <w:sz w:val="28"/>
          <w:szCs w:val="28"/>
          <w:lang w:val="en-US" w:eastAsia="zh-CN"/>
        </w:rPr>
        <w:t>9</w:t>
      </w:r>
      <w:r>
        <w:rPr>
          <w:rFonts w:hint="eastAsia" w:cs="仿宋_GB2312"/>
          <w:sz w:val="28"/>
          <w:szCs w:val="28"/>
        </w:rPr>
        <w:t>年</w:t>
      </w:r>
      <w:r>
        <w:rPr>
          <w:sz w:val="28"/>
          <w:szCs w:val="28"/>
        </w:rPr>
        <w:t>12</w:t>
      </w:r>
      <w:r>
        <w:rPr>
          <w:rFonts w:hint="eastAsia" w:cs="仿宋_GB2312"/>
          <w:sz w:val="28"/>
          <w:szCs w:val="28"/>
        </w:rPr>
        <w:t>月</w:t>
      </w:r>
      <w:r>
        <w:rPr>
          <w:sz w:val="28"/>
          <w:szCs w:val="28"/>
        </w:rPr>
        <w:t>31</w:t>
      </w:r>
      <w:r>
        <w:rPr>
          <w:rFonts w:hint="eastAsia" w:cs="仿宋_GB2312"/>
          <w:sz w:val="28"/>
          <w:szCs w:val="28"/>
        </w:rPr>
        <w:t>日</w:t>
      </w:r>
    </w:p>
    <w:tbl>
      <w:tblPr>
        <w:tblStyle w:val="5"/>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46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jc w:val="center"/>
              <w:rPr>
                <w:rFonts w:hint="eastAsia" w:cs="Times New Roman"/>
              </w:rPr>
            </w:pPr>
            <w:r>
              <w:rPr>
                <w:rFonts w:hint="eastAsia" w:cs="仿宋_GB2312"/>
              </w:rPr>
              <w:t>项目</w:t>
            </w:r>
          </w:p>
        </w:tc>
        <w:tc>
          <w:tcPr>
            <w:tcW w:w="1462" w:type="dxa"/>
          </w:tcPr>
          <w:p>
            <w:pPr>
              <w:jc w:val="center"/>
              <w:rPr>
                <w:rFonts w:hint="eastAsia" w:cs="Times New Roman"/>
              </w:rPr>
            </w:pPr>
            <w:r>
              <w:rPr>
                <w:rFonts w:hint="eastAsia" w:cs="仿宋_GB2312"/>
              </w:rPr>
              <w:t>数量</w:t>
            </w:r>
          </w:p>
        </w:tc>
        <w:tc>
          <w:tcPr>
            <w:tcW w:w="2841" w:type="dxa"/>
          </w:tcPr>
          <w:p>
            <w:pPr>
              <w:jc w:val="center"/>
              <w:rPr>
                <w:rFonts w:hint="eastAsia" w:cs="仿宋_GB2312"/>
              </w:rPr>
            </w:pPr>
            <w:r>
              <w:rPr>
                <w:rFonts w:hint="eastAsia" w:cs="仿宋_GB2312"/>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rPr>
                <w:rFonts w:hint="eastAsia" w:cs="Times New Roman"/>
              </w:rPr>
            </w:pPr>
            <w:r>
              <w:rPr>
                <w:rFonts w:hint="eastAsia" w:cs="仿宋_GB2312"/>
              </w:rPr>
              <w:t>资产总额</w:t>
            </w:r>
          </w:p>
        </w:tc>
        <w:tc>
          <w:tcPr>
            <w:tcW w:w="1462" w:type="dxa"/>
          </w:tcPr>
          <w:p>
            <w:pPr>
              <w:rPr>
                <w:rFonts w:hint="eastAsia"/>
              </w:rPr>
            </w:pPr>
            <w:r>
              <w:t>——</w:t>
            </w:r>
          </w:p>
        </w:tc>
        <w:tc>
          <w:tcPr>
            <w:tcW w:w="2841" w:type="dxa"/>
          </w:tcPr>
          <w:p>
            <w:pPr>
              <w:rPr>
                <w:rFonts w:hint="eastAsia" w:eastAsia="仿宋_GB2312" w:cs="Times New Roman"/>
                <w:color w:val="0070C0"/>
                <w:lang w:val="en-US" w:eastAsia="zh-CN"/>
              </w:rPr>
            </w:pPr>
            <w:r>
              <w:rPr>
                <w:rFonts w:hint="eastAsia" w:cs="Times New Roman"/>
                <w:color w:val="auto"/>
                <w:lang w:val="en-US" w:eastAsia="zh-CN"/>
              </w:rPr>
              <w:t>320.33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rPr>
                <w:rFonts w:hint="eastAsia" w:cs="Times New Roman"/>
              </w:rPr>
            </w:pPr>
            <w:r>
              <w:t>1</w:t>
            </w:r>
            <w:r>
              <w:rPr>
                <w:rFonts w:hint="eastAsia" w:cs="仿宋_GB2312"/>
              </w:rPr>
              <w:t>、房屋（平方米）</w:t>
            </w:r>
          </w:p>
        </w:tc>
        <w:tc>
          <w:tcPr>
            <w:tcW w:w="1462" w:type="dxa"/>
            <w:vAlign w:val="top"/>
          </w:tcPr>
          <w:p>
            <w:pPr>
              <w:rPr>
                <w:rFonts w:hint="eastAsia" w:cs="Times New Roman"/>
              </w:rPr>
            </w:pPr>
            <w:r>
              <w:rPr>
                <w:rFonts w:hint="eastAsia" w:eastAsia="宋体"/>
                <w:highlight w:val="none"/>
              </w:rPr>
              <w:t>2618.9</w:t>
            </w:r>
          </w:p>
        </w:tc>
        <w:tc>
          <w:tcPr>
            <w:tcW w:w="2841" w:type="dxa"/>
            <w:vAlign w:val="top"/>
          </w:tcPr>
          <w:p>
            <w:pPr>
              <w:rPr>
                <w:rFonts w:hint="eastAsia" w:cs="Times New Roman"/>
              </w:rPr>
            </w:pPr>
            <w:r>
              <w:rPr>
                <w:rFonts w:hint="eastAsia" w:eastAsia="宋体"/>
                <w:highlight w:val="none"/>
              </w:rPr>
              <w:t>115.57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rPr>
                <w:rFonts w:hint="eastAsia" w:cs="Times New Roman"/>
              </w:rPr>
            </w:pPr>
            <w:r>
              <w:t xml:space="preserve">   </w:t>
            </w:r>
            <w:r>
              <w:rPr>
                <w:rFonts w:hint="eastAsia" w:cs="仿宋_GB2312"/>
              </w:rPr>
              <w:t>其中：办公用房（平方米）</w:t>
            </w:r>
          </w:p>
        </w:tc>
        <w:tc>
          <w:tcPr>
            <w:tcW w:w="1462" w:type="dxa"/>
            <w:vAlign w:val="top"/>
          </w:tcPr>
          <w:p>
            <w:pPr>
              <w:rPr>
                <w:rFonts w:hint="eastAsia" w:cs="Times New Roman"/>
              </w:rPr>
            </w:pPr>
            <w:r>
              <w:rPr>
                <w:rFonts w:hint="eastAsia" w:eastAsia="宋体"/>
                <w:highlight w:val="none"/>
              </w:rPr>
              <w:t>2592.25</w:t>
            </w:r>
          </w:p>
        </w:tc>
        <w:tc>
          <w:tcPr>
            <w:tcW w:w="2841" w:type="dxa"/>
            <w:vAlign w:val="top"/>
          </w:tcPr>
          <w:p>
            <w:pPr>
              <w:rPr>
                <w:rFonts w:hint="eastAsia" w:cs="Times New Roman"/>
              </w:rPr>
            </w:pPr>
            <w:r>
              <w:rPr>
                <w:rFonts w:hint="eastAsia" w:eastAsia="宋体"/>
                <w:highlight w:val="none"/>
              </w:rPr>
              <w:t>114.58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rPr>
                <w:rFonts w:hint="eastAsia" w:cs="Times New Roman"/>
              </w:rPr>
            </w:pPr>
            <w:r>
              <w:t>2</w:t>
            </w:r>
            <w:r>
              <w:rPr>
                <w:rFonts w:hint="eastAsia" w:cs="仿宋_GB2312"/>
              </w:rPr>
              <w:t>、车辆（台、辆）</w:t>
            </w:r>
          </w:p>
        </w:tc>
        <w:tc>
          <w:tcPr>
            <w:tcW w:w="1462" w:type="dxa"/>
            <w:vAlign w:val="top"/>
          </w:tcPr>
          <w:p>
            <w:pPr>
              <w:rPr>
                <w:rFonts w:hint="eastAsia" w:cs="Times New Roman"/>
              </w:rPr>
            </w:pPr>
            <w:r>
              <w:rPr>
                <w:rFonts w:hint="eastAsia"/>
                <w:highlight w:val="none"/>
              </w:rPr>
              <w:t>4</w:t>
            </w:r>
          </w:p>
        </w:tc>
        <w:tc>
          <w:tcPr>
            <w:tcW w:w="2841" w:type="dxa"/>
            <w:vAlign w:val="top"/>
          </w:tcPr>
          <w:p>
            <w:pPr>
              <w:rPr>
                <w:rFonts w:hint="eastAsia" w:cs="Times New Roman"/>
              </w:rPr>
            </w:pPr>
            <w:r>
              <w:rPr>
                <w:rFonts w:hint="eastAsia"/>
                <w:highlight w:val="none"/>
              </w:rPr>
              <w:t>39.23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rPr>
                <w:rFonts w:hint="eastAsia"/>
              </w:rPr>
            </w:pPr>
            <w:r>
              <w:rPr>
                <w:rFonts w:hint="eastAsia"/>
              </w:rPr>
              <w:t>3、单价在20万元以上设备</w:t>
            </w:r>
          </w:p>
        </w:tc>
        <w:tc>
          <w:tcPr>
            <w:tcW w:w="1462" w:type="dxa"/>
          </w:tcPr>
          <w:p>
            <w:pPr>
              <w:rPr>
                <w:rFonts w:hint="eastAsia" w:cs="Times New Roman"/>
              </w:rPr>
            </w:pPr>
          </w:p>
        </w:tc>
        <w:tc>
          <w:tcPr>
            <w:tcW w:w="2841" w:type="dxa"/>
          </w:tcPr>
          <w:p>
            <w:pPr>
              <w:rPr>
                <w:rFonts w:hint="eastAsia"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rPr>
                <w:rFonts w:hint="eastAsia" w:cs="Times New Roman"/>
              </w:rPr>
            </w:pPr>
            <w:r>
              <w:rPr>
                <w:rFonts w:hint="eastAsia"/>
              </w:rPr>
              <w:t>4</w:t>
            </w:r>
            <w:r>
              <w:rPr>
                <w:rFonts w:hint="eastAsia" w:cs="仿宋_GB2312"/>
              </w:rPr>
              <w:t>、其他固定资产</w:t>
            </w:r>
          </w:p>
        </w:tc>
        <w:tc>
          <w:tcPr>
            <w:tcW w:w="1462" w:type="dxa"/>
          </w:tcPr>
          <w:p>
            <w:pPr>
              <w:rPr>
                <w:rFonts w:hint="eastAsia" w:cs="Times New Roman"/>
              </w:rPr>
            </w:pPr>
          </w:p>
        </w:tc>
        <w:tc>
          <w:tcPr>
            <w:tcW w:w="2841" w:type="dxa"/>
          </w:tcPr>
          <w:p>
            <w:pPr>
              <w:rPr>
                <w:rFonts w:hint="eastAsia" w:eastAsia="仿宋_GB2312" w:cs="Times New Roman"/>
                <w:lang w:val="en-US" w:eastAsia="zh-CN"/>
              </w:rPr>
            </w:pPr>
            <w:r>
              <w:rPr>
                <w:rFonts w:hint="eastAsia" w:cs="Times New Roman"/>
                <w:lang w:val="en-US" w:eastAsia="zh-CN"/>
              </w:rPr>
              <w:t>165.53</w:t>
            </w:r>
          </w:p>
        </w:tc>
      </w:tr>
    </w:tbl>
    <w:p>
      <w:pPr>
        <w:ind w:firstLine="643" w:firstLineChars="200"/>
        <w:rPr>
          <w:rFonts w:hint="eastAsia" w:cs="Times New Roman"/>
          <w:b/>
          <w:bCs/>
        </w:rPr>
      </w:pPr>
      <w:r>
        <w:rPr>
          <w:b/>
          <w:bCs/>
        </w:rPr>
        <w:t>8</w:t>
      </w:r>
      <w:r>
        <w:rPr>
          <w:rFonts w:hint="eastAsia" w:cs="仿宋_GB2312"/>
          <w:b/>
          <w:bCs/>
        </w:rPr>
        <w:t>、名词解释</w:t>
      </w:r>
    </w:p>
    <w:p>
      <w:pPr>
        <w:ind w:firstLine="640" w:firstLineChars="200"/>
        <w:rPr>
          <w:rFonts w:hint="eastAsia" w:ascii="仿宋_GB2312"/>
          <w:b/>
        </w:rPr>
      </w:pPr>
      <w:r>
        <w:rPr>
          <w:rFonts w:hint="eastAsia" w:ascii="仿宋_GB2312"/>
        </w:rPr>
        <w:t>1、一般公共预算拨款收入：指市级财政当年拨付的资金。</w:t>
      </w:r>
    </w:p>
    <w:p>
      <w:pPr>
        <w:ind w:firstLine="640" w:firstLineChars="200"/>
        <w:rPr>
          <w:rFonts w:hint="eastAsia" w:ascii="仿宋_GB2312"/>
        </w:rPr>
      </w:pPr>
      <w:r>
        <w:rPr>
          <w:rFonts w:hint="eastAsia" w:ascii="仿宋_GB2312"/>
        </w:rPr>
        <w:t>2、事业收入：指事业单位开展专业业务活动及辅助活动所取得的收入。</w:t>
      </w:r>
    </w:p>
    <w:p>
      <w:pPr>
        <w:ind w:firstLine="640" w:firstLineChars="200"/>
        <w:rPr>
          <w:rFonts w:hint="eastAsia" w:ascii="仿宋_GB2312"/>
        </w:rPr>
      </w:pPr>
      <w:r>
        <w:rPr>
          <w:rFonts w:hint="eastAsia" w:ascii="仿宋_GB2312"/>
        </w:rPr>
        <w:t>3、其他收入：指除上述“财政拨款收入”、“事业收入”等以外的收入。</w:t>
      </w:r>
    </w:p>
    <w:p>
      <w:pPr>
        <w:ind w:firstLine="640" w:firstLineChars="200"/>
        <w:rPr>
          <w:rFonts w:hint="eastAsia" w:ascii="仿宋_GB2312"/>
        </w:rPr>
      </w:pPr>
      <w:r>
        <w:rPr>
          <w:rFonts w:hint="eastAsia" w:ascii="仿宋_GB2312"/>
        </w:rPr>
        <w:t>4、基本支出：指为保障机构正常运转、完成日常工作任务而发生的人员支出和公用支出。</w:t>
      </w:r>
    </w:p>
    <w:p>
      <w:pPr>
        <w:ind w:firstLine="640" w:firstLineChars="200"/>
        <w:rPr>
          <w:rFonts w:hint="eastAsia" w:ascii="仿宋_GB2312"/>
        </w:rPr>
      </w:pPr>
      <w:r>
        <w:rPr>
          <w:rFonts w:hint="eastAsia" w:ascii="仿宋_GB2312"/>
        </w:rPr>
        <w:t>5、项目支出：指在基本支出之外为完成特定行政任务和事业发展目标所发生的支出。</w:t>
      </w:r>
    </w:p>
    <w:p>
      <w:pPr>
        <w:ind w:firstLine="640" w:firstLineChars="200"/>
        <w:rPr>
          <w:rFonts w:hint="eastAsia" w:ascii="仿宋_GB2312"/>
        </w:rPr>
      </w:pPr>
      <w:r>
        <w:rPr>
          <w:rFonts w:hint="eastAsia" w:ascii="仿宋_GB2312"/>
        </w:rPr>
        <w:t>6、“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hint="eastAsia" w:ascii="仿宋_GB2312" w:eastAsia="仿宋_GB2312"/>
          <w:kern w:val="0"/>
          <w:lang w:val="en-US" w:eastAsia="zh-CN"/>
        </w:rPr>
      </w:pPr>
      <w:r>
        <w:rPr>
          <w:rFonts w:hint="eastAsia" w:ascii="仿宋_GB2312"/>
          <w:kern w:val="0"/>
        </w:rPr>
        <w:t>7、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kern w:val="0"/>
          <w:lang w:val="en-US" w:eastAsia="zh-CN"/>
        </w:rPr>
        <w:t xml:space="preserve">                                                                                                                                                                                                                                                                                                                                                                                                     </w:t>
      </w:r>
    </w:p>
    <w:p>
      <w:pPr>
        <w:ind w:firstLine="640" w:firstLineChars="200"/>
        <w:rPr>
          <w:rFonts w:hint="eastAsia" w:ascii="仿宋_GB2312"/>
          <w:kern w:val="0"/>
        </w:rPr>
      </w:pPr>
    </w:p>
    <w:p>
      <w:pPr>
        <w:ind w:firstLine="643" w:firstLineChars="200"/>
        <w:rPr>
          <w:rFonts w:hint="eastAsia" w:cs="Times New Roman"/>
          <w:b/>
          <w:bCs/>
        </w:rPr>
      </w:pPr>
      <w:r>
        <w:rPr>
          <w:b/>
          <w:bCs/>
        </w:rPr>
        <w:t>9</w:t>
      </w:r>
      <w:r>
        <w:rPr>
          <w:rFonts w:hint="eastAsia" w:cs="仿宋_GB2312"/>
          <w:b/>
          <w:bCs/>
        </w:rPr>
        <w:t>、其他需要说明的事项</w:t>
      </w:r>
    </w:p>
    <w:p>
      <w:pPr>
        <w:ind w:firstLine="640" w:firstLineChars="200"/>
        <w:rPr>
          <w:rFonts w:hint="eastAsia" w:cs="Times New Roman"/>
          <w:bCs/>
        </w:rPr>
      </w:pPr>
      <w:r>
        <w:rPr>
          <w:rFonts w:hint="eastAsia" w:cs="仿宋_GB2312"/>
          <w:bCs/>
        </w:rPr>
        <w:t>本部门</w:t>
      </w:r>
      <w:r>
        <w:rPr>
          <w:rFonts w:hint="eastAsia" w:cs="仿宋_GB2312"/>
          <w:bCs/>
          <w:lang w:eastAsia="zh-CN"/>
        </w:rPr>
        <w:t>无</w:t>
      </w:r>
      <w:bookmarkStart w:id="20" w:name="_GoBack"/>
      <w:bookmarkEnd w:id="20"/>
      <w:r>
        <w:rPr>
          <w:rFonts w:hint="eastAsia" w:cs="仿宋_GB2312"/>
          <w:bCs/>
          <w:highlight w:val="none"/>
        </w:rPr>
        <w:t>国有资本经营预算</w:t>
      </w:r>
      <w:r>
        <w:rPr>
          <w:rFonts w:hint="eastAsia" w:cs="仿宋_GB2312"/>
          <w:bCs/>
        </w:rPr>
        <w:t>，无其他需要说明的事项。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261BA3"/>
    <w:multiLevelType w:val="singleLevel"/>
    <w:tmpl w:val="B5261BA3"/>
    <w:lvl w:ilvl="0" w:tentative="0">
      <w:start w:val="1"/>
      <w:numFmt w:val="chineseCounting"/>
      <w:suff w:val="nothing"/>
      <w:lvlText w:val="（%1）"/>
      <w:lvlJc w:val="left"/>
      <w:rPr>
        <w:rFonts w:hint="eastAsia"/>
      </w:rPr>
    </w:lvl>
  </w:abstractNum>
  <w:abstractNum w:abstractNumId="1">
    <w:nsid w:val="73304F03"/>
    <w:multiLevelType w:val="singleLevel"/>
    <w:tmpl w:val="73304F0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133"/>
    <w:rsid w:val="000046D1"/>
    <w:rsid w:val="00035B19"/>
    <w:rsid w:val="00037334"/>
    <w:rsid w:val="00037DEA"/>
    <w:rsid w:val="0005049D"/>
    <w:rsid w:val="00061CAC"/>
    <w:rsid w:val="0007464C"/>
    <w:rsid w:val="00092730"/>
    <w:rsid w:val="000D52EE"/>
    <w:rsid w:val="000E4BAB"/>
    <w:rsid w:val="000F4830"/>
    <w:rsid w:val="001011CA"/>
    <w:rsid w:val="00121DA4"/>
    <w:rsid w:val="00143A0F"/>
    <w:rsid w:val="00145B57"/>
    <w:rsid w:val="00146974"/>
    <w:rsid w:val="00153D6A"/>
    <w:rsid w:val="00175EB9"/>
    <w:rsid w:val="0018046B"/>
    <w:rsid w:val="001A6EC7"/>
    <w:rsid w:val="001C0076"/>
    <w:rsid w:val="001D021A"/>
    <w:rsid w:val="001F0AC3"/>
    <w:rsid w:val="001F1E74"/>
    <w:rsid w:val="001F2E32"/>
    <w:rsid w:val="00233B12"/>
    <w:rsid w:val="00251260"/>
    <w:rsid w:val="0028603B"/>
    <w:rsid w:val="0029393F"/>
    <w:rsid w:val="00294A91"/>
    <w:rsid w:val="00295FE6"/>
    <w:rsid w:val="002A1675"/>
    <w:rsid w:val="002D49E5"/>
    <w:rsid w:val="00303AB5"/>
    <w:rsid w:val="003110A9"/>
    <w:rsid w:val="003175BD"/>
    <w:rsid w:val="00344FD8"/>
    <w:rsid w:val="003566CA"/>
    <w:rsid w:val="0038169B"/>
    <w:rsid w:val="00393B97"/>
    <w:rsid w:val="003B6A19"/>
    <w:rsid w:val="003C1CF6"/>
    <w:rsid w:val="003C5F6F"/>
    <w:rsid w:val="003E1D92"/>
    <w:rsid w:val="00402EE2"/>
    <w:rsid w:val="00420705"/>
    <w:rsid w:val="004448F0"/>
    <w:rsid w:val="00462BA7"/>
    <w:rsid w:val="00464D08"/>
    <w:rsid w:val="00466D4B"/>
    <w:rsid w:val="004676E2"/>
    <w:rsid w:val="004848E5"/>
    <w:rsid w:val="00486937"/>
    <w:rsid w:val="0048737C"/>
    <w:rsid w:val="004927E2"/>
    <w:rsid w:val="00495552"/>
    <w:rsid w:val="004B7731"/>
    <w:rsid w:val="004B7C22"/>
    <w:rsid w:val="00511A08"/>
    <w:rsid w:val="0054189D"/>
    <w:rsid w:val="0054405A"/>
    <w:rsid w:val="00552C56"/>
    <w:rsid w:val="00564E8D"/>
    <w:rsid w:val="00566A29"/>
    <w:rsid w:val="00570454"/>
    <w:rsid w:val="00576EA6"/>
    <w:rsid w:val="00581F16"/>
    <w:rsid w:val="00584830"/>
    <w:rsid w:val="005854BB"/>
    <w:rsid w:val="00592F7A"/>
    <w:rsid w:val="005B097F"/>
    <w:rsid w:val="005B0E10"/>
    <w:rsid w:val="005B40D2"/>
    <w:rsid w:val="005C6640"/>
    <w:rsid w:val="005D2C0D"/>
    <w:rsid w:val="005F09C1"/>
    <w:rsid w:val="005F2892"/>
    <w:rsid w:val="005F77DD"/>
    <w:rsid w:val="00611F5C"/>
    <w:rsid w:val="00630540"/>
    <w:rsid w:val="00651A76"/>
    <w:rsid w:val="006A63F5"/>
    <w:rsid w:val="006B3697"/>
    <w:rsid w:val="00706347"/>
    <w:rsid w:val="007222F0"/>
    <w:rsid w:val="007604D5"/>
    <w:rsid w:val="00781E17"/>
    <w:rsid w:val="00793199"/>
    <w:rsid w:val="007A6AA7"/>
    <w:rsid w:val="007D7404"/>
    <w:rsid w:val="007D7D87"/>
    <w:rsid w:val="007E2425"/>
    <w:rsid w:val="007E6BE5"/>
    <w:rsid w:val="00800D02"/>
    <w:rsid w:val="00812AC2"/>
    <w:rsid w:val="00826B4B"/>
    <w:rsid w:val="00830311"/>
    <w:rsid w:val="00844470"/>
    <w:rsid w:val="0088372E"/>
    <w:rsid w:val="008E0A1B"/>
    <w:rsid w:val="008F6D3D"/>
    <w:rsid w:val="00906D6A"/>
    <w:rsid w:val="00917E24"/>
    <w:rsid w:val="00945D2E"/>
    <w:rsid w:val="0099304E"/>
    <w:rsid w:val="00994814"/>
    <w:rsid w:val="009A3E2F"/>
    <w:rsid w:val="009C7DB3"/>
    <w:rsid w:val="00A02605"/>
    <w:rsid w:val="00A37511"/>
    <w:rsid w:val="00A41E09"/>
    <w:rsid w:val="00A56560"/>
    <w:rsid w:val="00A608A1"/>
    <w:rsid w:val="00A848C8"/>
    <w:rsid w:val="00A95BB5"/>
    <w:rsid w:val="00AA7EB5"/>
    <w:rsid w:val="00AE1665"/>
    <w:rsid w:val="00B02D78"/>
    <w:rsid w:val="00B16EBC"/>
    <w:rsid w:val="00B32750"/>
    <w:rsid w:val="00B341E5"/>
    <w:rsid w:val="00B370DA"/>
    <w:rsid w:val="00B41095"/>
    <w:rsid w:val="00B43D89"/>
    <w:rsid w:val="00B97D64"/>
    <w:rsid w:val="00BC7FD7"/>
    <w:rsid w:val="00BE5606"/>
    <w:rsid w:val="00C134F8"/>
    <w:rsid w:val="00C16713"/>
    <w:rsid w:val="00C312C8"/>
    <w:rsid w:val="00C35292"/>
    <w:rsid w:val="00C4088F"/>
    <w:rsid w:val="00C429E5"/>
    <w:rsid w:val="00C53032"/>
    <w:rsid w:val="00C76466"/>
    <w:rsid w:val="00CA0FEE"/>
    <w:rsid w:val="00CB3F98"/>
    <w:rsid w:val="00CB46F3"/>
    <w:rsid w:val="00CB4A3E"/>
    <w:rsid w:val="00CC40DA"/>
    <w:rsid w:val="00CC66D6"/>
    <w:rsid w:val="00CF002D"/>
    <w:rsid w:val="00D02343"/>
    <w:rsid w:val="00D17241"/>
    <w:rsid w:val="00D21B66"/>
    <w:rsid w:val="00D31B11"/>
    <w:rsid w:val="00D964DF"/>
    <w:rsid w:val="00DB3E72"/>
    <w:rsid w:val="00DC46A6"/>
    <w:rsid w:val="00DD3193"/>
    <w:rsid w:val="00DD76CD"/>
    <w:rsid w:val="00DE4E10"/>
    <w:rsid w:val="00DE54B0"/>
    <w:rsid w:val="00E02E51"/>
    <w:rsid w:val="00E2651C"/>
    <w:rsid w:val="00E27BB6"/>
    <w:rsid w:val="00E562B3"/>
    <w:rsid w:val="00E60CB6"/>
    <w:rsid w:val="00E62133"/>
    <w:rsid w:val="00E75B85"/>
    <w:rsid w:val="00E87871"/>
    <w:rsid w:val="00E93B7F"/>
    <w:rsid w:val="00E94A52"/>
    <w:rsid w:val="00E9665A"/>
    <w:rsid w:val="00EC5B61"/>
    <w:rsid w:val="00ED0BDC"/>
    <w:rsid w:val="00ED11AD"/>
    <w:rsid w:val="00F10159"/>
    <w:rsid w:val="00F13E61"/>
    <w:rsid w:val="00F3161F"/>
    <w:rsid w:val="00F33189"/>
    <w:rsid w:val="00F516AD"/>
    <w:rsid w:val="00F76BC5"/>
    <w:rsid w:val="00F8027B"/>
    <w:rsid w:val="00F82A8B"/>
    <w:rsid w:val="00F85692"/>
    <w:rsid w:val="00FA55CA"/>
    <w:rsid w:val="00FB6482"/>
    <w:rsid w:val="00FD4278"/>
    <w:rsid w:val="061947E3"/>
    <w:rsid w:val="073360B8"/>
    <w:rsid w:val="0AE77078"/>
    <w:rsid w:val="0FC50DDA"/>
    <w:rsid w:val="1167620E"/>
    <w:rsid w:val="14133822"/>
    <w:rsid w:val="164031AA"/>
    <w:rsid w:val="17742C19"/>
    <w:rsid w:val="19601A84"/>
    <w:rsid w:val="19E04A73"/>
    <w:rsid w:val="1C2C0FB7"/>
    <w:rsid w:val="24350802"/>
    <w:rsid w:val="25B600F1"/>
    <w:rsid w:val="2D1430FA"/>
    <w:rsid w:val="2D3C0183"/>
    <w:rsid w:val="2D9F4E51"/>
    <w:rsid w:val="2E6E1A42"/>
    <w:rsid w:val="2FA21DB8"/>
    <w:rsid w:val="307E388E"/>
    <w:rsid w:val="351B6C9D"/>
    <w:rsid w:val="3C5573A7"/>
    <w:rsid w:val="3FE65B43"/>
    <w:rsid w:val="41510913"/>
    <w:rsid w:val="42B369D5"/>
    <w:rsid w:val="42E05EF9"/>
    <w:rsid w:val="443245C0"/>
    <w:rsid w:val="46652670"/>
    <w:rsid w:val="48FF56BB"/>
    <w:rsid w:val="492A2EF8"/>
    <w:rsid w:val="526F6854"/>
    <w:rsid w:val="52F95885"/>
    <w:rsid w:val="556916C3"/>
    <w:rsid w:val="56146D04"/>
    <w:rsid w:val="57E22F12"/>
    <w:rsid w:val="5B3C592E"/>
    <w:rsid w:val="622B1076"/>
    <w:rsid w:val="6937147E"/>
    <w:rsid w:val="6A2024F4"/>
    <w:rsid w:val="6A3A34DA"/>
    <w:rsid w:val="6A815EBE"/>
    <w:rsid w:val="6B1F543E"/>
    <w:rsid w:val="6D523CD3"/>
    <w:rsid w:val="6E6F73E5"/>
    <w:rsid w:val="716000EB"/>
    <w:rsid w:val="771E7862"/>
    <w:rsid w:val="7ADB2D64"/>
    <w:rsid w:val="7BD05C2C"/>
    <w:rsid w:val="7BE86F96"/>
    <w:rsid w:val="7EC37C0C"/>
    <w:rsid w:val="7F7934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3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1"/>
    <w:basedOn w:val="1"/>
    <w:qFormat/>
    <w:uiPriority w:val="99"/>
    <w:pPr>
      <w:ind w:firstLine="420" w:firstLineChars="200"/>
    </w:pPr>
  </w:style>
  <w:style w:type="character" w:customStyle="1" w:styleId="9">
    <w:name w:val="批注框文本 Char"/>
    <w:basedOn w:val="7"/>
    <w:link w:val="2"/>
    <w:semiHidden/>
    <w:qFormat/>
    <w:locked/>
    <w:uiPriority w:val="99"/>
    <w:rPr>
      <w:rFonts w:eastAsia="仿宋_GB2312" w:cs="Times New Roman"/>
      <w:sz w:val="18"/>
      <w:szCs w:val="18"/>
    </w:rPr>
  </w:style>
  <w:style w:type="character" w:customStyle="1" w:styleId="10">
    <w:name w:val="页眉 Char"/>
    <w:basedOn w:val="7"/>
    <w:link w:val="4"/>
    <w:semiHidden/>
    <w:qFormat/>
    <w:locked/>
    <w:uiPriority w:val="99"/>
    <w:rPr>
      <w:rFonts w:eastAsia="仿宋_GB2312" w:cs="Times New Roman"/>
      <w:sz w:val="18"/>
      <w:szCs w:val="18"/>
    </w:rPr>
  </w:style>
  <w:style w:type="character" w:customStyle="1" w:styleId="11">
    <w:name w:val="页脚 Char"/>
    <w:basedOn w:val="7"/>
    <w:link w:val="3"/>
    <w:semiHidden/>
    <w:qFormat/>
    <w:locked/>
    <w:uiPriority w:val="99"/>
    <w:rPr>
      <w:rFonts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25</Pages>
  <Words>11090</Words>
  <Characters>2203</Characters>
  <Lines>18</Lines>
  <Paragraphs>26</Paragraphs>
  <TotalTime>5</TotalTime>
  <ScaleCrop>false</ScaleCrop>
  <LinksUpToDate>false</LinksUpToDate>
  <CharactersWithSpaces>13267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2017-04-14T02:37:00Z</dcterms:created>
  <dc:creator>lenovo</dc:creator>
  <cp:lastModifiedBy>小板牙儿</cp:lastModifiedBy>
  <cp:lastPrinted>2017-04-17T03:01:00Z</cp:lastPrinted>
  <dcterms:modified xsi:type="dcterms:W3CDTF">2021-05-20T00:45:42Z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243273143_btnclosed</vt:lpwstr>
  </property>
  <property fmtid="{D5CDD505-2E9C-101B-9397-08002B2CF9AE}" pid="4" name="ICV">
    <vt:lpwstr>6580AE4182C44C9ABB863906BDB22038</vt:lpwstr>
  </property>
</Properties>
</file>