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00"/>
        <w:jc w:val="center"/>
        <w:rPr>
          <w:rFonts w:hint="eastAsia" w:ascii="黑体" w:hAnsi="黑体" w:eastAsia="黑体" w:cs="黑体"/>
          <w:b/>
          <w:bCs/>
          <w:sz w:val="44"/>
          <w:szCs w:val="44"/>
        </w:rPr>
      </w:pPr>
      <w:r>
        <w:rPr>
          <w:rFonts w:hint="eastAsia" w:ascii="黑体" w:hAnsi="黑体" w:eastAsia="黑体" w:cs="黑体"/>
          <w:b/>
          <w:bCs/>
          <w:sz w:val="44"/>
          <w:szCs w:val="44"/>
        </w:rPr>
        <w:t>饶阳县王同岳乡</w:t>
      </w:r>
    </w:p>
    <w:p>
      <w:pPr>
        <w:spacing w:line="560" w:lineRule="exact"/>
        <w:ind w:firstLine="600"/>
        <w:jc w:val="center"/>
        <w:rPr>
          <w:rFonts w:ascii="黑体" w:hAnsi="黑体" w:eastAsia="黑体" w:cs="黑体"/>
          <w:b/>
          <w:bCs/>
          <w:sz w:val="36"/>
          <w:szCs w:val="36"/>
        </w:rPr>
      </w:pPr>
      <w:r>
        <w:rPr>
          <w:rFonts w:hint="eastAsia" w:ascii="黑体" w:hAnsi="黑体" w:eastAsia="黑体" w:cs="黑体"/>
          <w:b/>
          <w:bCs/>
          <w:sz w:val="44"/>
          <w:szCs w:val="44"/>
        </w:rPr>
        <w:t>2017年部门决算公开说明</w:t>
      </w:r>
    </w:p>
    <w:p>
      <w:pPr>
        <w:spacing w:line="560" w:lineRule="exact"/>
        <w:ind w:firstLine="880"/>
        <w:rPr>
          <w:rFonts w:ascii="仿宋_GB2312" w:hAnsi="仿宋_GB2312" w:eastAsia="仿宋_GB2312" w:cs="仿宋_GB2312"/>
          <w:b/>
          <w:bCs/>
          <w:sz w:val="32"/>
          <w:szCs w:val="32"/>
        </w:rPr>
      </w:pPr>
    </w:p>
    <w:p>
      <w:pPr>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第一部分</w:t>
      </w:r>
      <w:r>
        <w:rPr>
          <w:rFonts w:ascii="仿宋" w:hAnsi="仿宋" w:eastAsia="仿宋"/>
          <w:b/>
          <w:sz w:val="32"/>
          <w:szCs w:val="32"/>
        </w:rPr>
        <w:t xml:space="preserve">  </w:t>
      </w:r>
      <w:r>
        <w:rPr>
          <w:rFonts w:hint="eastAsia" w:ascii="仿宋" w:hAnsi="仿宋" w:eastAsia="仿宋"/>
          <w:b/>
          <w:sz w:val="32"/>
          <w:szCs w:val="32"/>
        </w:rPr>
        <w:t>王同岳乡</w:t>
      </w:r>
      <w:r>
        <w:rPr>
          <w:rFonts w:ascii="仿宋" w:hAnsi="仿宋" w:eastAsia="仿宋"/>
          <w:b/>
          <w:sz w:val="32"/>
          <w:szCs w:val="32"/>
        </w:rPr>
        <w:t>部门</w:t>
      </w:r>
      <w:r>
        <w:rPr>
          <w:rFonts w:hint="eastAsia" w:ascii="仿宋" w:hAnsi="仿宋" w:eastAsia="仿宋"/>
          <w:b/>
          <w:sz w:val="32"/>
          <w:szCs w:val="32"/>
        </w:rPr>
        <w:t>职责及</w:t>
      </w:r>
      <w:r>
        <w:rPr>
          <w:rFonts w:ascii="仿宋" w:hAnsi="仿宋" w:eastAsia="仿宋"/>
          <w:b/>
          <w:sz w:val="32"/>
          <w:szCs w:val="32"/>
        </w:rPr>
        <w:t>概况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atLeast"/>
        <w:ind w:firstLine="640" w:firstLineChars="200"/>
        <w:rPr>
          <w:rFonts w:ascii="仿宋" w:hAnsi="仿宋" w:eastAsia="仿宋" w:cs="Calibri"/>
          <w:color w:val="000000"/>
          <w:sz w:val="32"/>
          <w:szCs w:val="32"/>
        </w:rPr>
      </w:pPr>
      <w:r>
        <w:rPr>
          <w:rFonts w:hint="eastAsia" w:ascii="仿宋" w:hAnsi="仿宋" w:eastAsia="仿宋" w:cs="仿宋"/>
          <w:sz w:val="32"/>
          <w:szCs w:val="32"/>
        </w:rPr>
        <w:t>饶阳县王同岳乡人民政府财政拨款经费保障形式，行政机构数一个，由人大、政府、党委、群团、司法、财政、民政、计生、农业、林业、水利构成，</w:t>
      </w:r>
      <w:r>
        <w:rPr>
          <w:rFonts w:ascii="仿宋" w:hAnsi="仿宋" w:eastAsia="仿宋" w:cs="仿宋_GB2312"/>
          <w:color w:val="000000"/>
          <w:kern w:val="0"/>
          <w:sz w:val="32"/>
          <w:szCs w:val="32"/>
          <w:shd w:val="clear" w:color="auto" w:fill="FFFFFF"/>
        </w:rPr>
        <w:t>各部门职责如下：</w:t>
      </w:r>
    </w:p>
    <w:p>
      <w:pPr>
        <w:pStyle w:val="6"/>
        <w:shd w:val="clear" w:color="auto" w:fill="FFFFFF"/>
        <w:spacing w:before="0" w:beforeAutospacing="0" w:after="0" w:afterAutospacing="0" w:line="600" w:lineRule="exact"/>
        <w:rPr>
          <w:rFonts w:ascii="仿宋" w:hAnsi="仿宋" w:eastAsia="仿宋"/>
          <w:color w:val="000000"/>
          <w:sz w:val="32"/>
          <w:szCs w:val="32"/>
        </w:rPr>
      </w:pPr>
      <w:r>
        <w:rPr>
          <w:rFonts w:hint="eastAsia" w:ascii="仿宋" w:hAnsi="仿宋" w:eastAsia="仿宋" w:cs="仿宋_GB2312"/>
          <w:color w:val="000000"/>
          <w:sz w:val="32"/>
          <w:szCs w:val="32"/>
          <w:shd w:val="clear" w:color="auto" w:fill="FFFFFF"/>
        </w:rPr>
        <w:t xml:space="preserve">    </w:t>
      </w:r>
      <w:r>
        <w:rPr>
          <w:rFonts w:ascii="仿宋" w:hAnsi="仿宋" w:eastAsia="仿宋" w:cs="仿宋_GB2312"/>
          <w:color w:val="000000"/>
          <w:sz w:val="32"/>
          <w:szCs w:val="32"/>
          <w:shd w:val="clear" w:color="auto" w:fill="FFFFFF"/>
        </w:rPr>
        <w:t>一、党委职责：1、贯彻党的路线、方针、政策和上级党组织的指示、决定，执行镇党代表大会决议，讨论决定本镇的重大问题。2、抓好自身的所属党组织的思想、组织和作风建设。</w:t>
      </w:r>
      <w:r>
        <w:rPr>
          <w:rFonts w:hint="eastAsia" w:ascii="仿宋" w:hAnsi="仿宋" w:eastAsia="仿宋" w:cs="仿宋_GB2312"/>
          <w:color w:val="000000"/>
          <w:sz w:val="32"/>
          <w:szCs w:val="32"/>
          <w:shd w:val="clear" w:color="auto" w:fill="FFFFFF"/>
        </w:rPr>
        <w:t>3</w:t>
      </w:r>
      <w:r>
        <w:rPr>
          <w:rFonts w:ascii="仿宋" w:hAnsi="仿宋" w:eastAsia="仿宋" w:cs="仿宋_GB2312"/>
          <w:color w:val="000000"/>
          <w:sz w:val="32"/>
          <w:szCs w:val="32"/>
          <w:shd w:val="clear" w:color="auto" w:fill="FFFFFF"/>
        </w:rPr>
        <w:t>、领导并支持镇政府依法行使各项行政管理职权。</w:t>
      </w:r>
      <w:r>
        <w:rPr>
          <w:rFonts w:hint="eastAsia" w:ascii="仿宋" w:hAnsi="仿宋" w:eastAsia="仿宋" w:cs="仿宋_GB2312"/>
          <w:color w:val="000000"/>
          <w:sz w:val="32"/>
          <w:szCs w:val="32"/>
          <w:shd w:val="clear" w:color="auto" w:fill="FFFFFF"/>
        </w:rPr>
        <w:t>4</w:t>
      </w:r>
      <w:r>
        <w:rPr>
          <w:rFonts w:ascii="仿宋" w:hAnsi="仿宋" w:eastAsia="仿宋" w:cs="仿宋_GB2312"/>
          <w:color w:val="000000"/>
          <w:sz w:val="32"/>
          <w:szCs w:val="32"/>
          <w:shd w:val="clear" w:color="auto" w:fill="FFFFFF"/>
        </w:rPr>
        <w:t>、领导上级有关部门派驻镇的党的建设。领导、支持和协调上级有关部门派驻镇的工作。</w:t>
      </w:r>
      <w:r>
        <w:rPr>
          <w:rFonts w:hint="eastAsia" w:ascii="仿宋" w:hAnsi="仿宋" w:eastAsia="仿宋" w:cs="仿宋_GB2312"/>
          <w:color w:val="000000"/>
          <w:sz w:val="32"/>
          <w:szCs w:val="32"/>
          <w:shd w:val="clear" w:color="auto" w:fill="FFFFFF"/>
        </w:rPr>
        <w:t>5</w:t>
      </w:r>
      <w:r>
        <w:rPr>
          <w:rFonts w:ascii="仿宋" w:hAnsi="仿宋" w:eastAsia="仿宋" w:cs="仿宋_GB2312"/>
          <w:color w:val="000000"/>
          <w:sz w:val="32"/>
          <w:szCs w:val="32"/>
          <w:shd w:val="clear" w:color="auto" w:fill="FFFFFF"/>
        </w:rPr>
        <w:t>、完成上级党组织搅拌的其他任务。</w:t>
      </w:r>
    </w:p>
    <w:p>
      <w:pPr>
        <w:widowControl/>
        <w:shd w:val="clear" w:color="auto" w:fill="FFFFFF"/>
        <w:spacing w:line="600" w:lineRule="exact"/>
        <w:rPr>
          <w:rFonts w:ascii="仿宋" w:hAnsi="仿宋" w:eastAsia="仿宋" w:cs="Calibri"/>
          <w:color w:val="000000"/>
          <w:sz w:val="32"/>
          <w:szCs w:val="32"/>
        </w:rPr>
      </w:pPr>
      <w:r>
        <w:rPr>
          <w:rFonts w:ascii="仿宋" w:eastAsia="仿宋" w:cs="仿宋_GB2312"/>
          <w:color w:val="000000"/>
          <w:kern w:val="0"/>
          <w:sz w:val="32"/>
          <w:szCs w:val="32"/>
          <w:shd w:val="clear" w:color="auto" w:fill="FFFFFF"/>
        </w:rPr>
        <w:t>    </w:t>
      </w:r>
      <w:r>
        <w:rPr>
          <w:rFonts w:hint="eastAsia" w:ascii="仿宋" w:hAnsi="仿宋" w:eastAsia="仿宋" w:cs="仿宋_GB2312"/>
          <w:color w:val="000000"/>
          <w:kern w:val="0"/>
          <w:sz w:val="32"/>
          <w:szCs w:val="32"/>
          <w:shd w:val="clear" w:color="auto" w:fill="FFFFFF"/>
        </w:rPr>
        <w:t xml:space="preserve">  </w:t>
      </w:r>
      <w:r>
        <w:rPr>
          <w:rFonts w:ascii="仿宋" w:hAnsi="仿宋" w:eastAsia="仿宋" w:cs="仿宋_GB2312"/>
          <w:color w:val="000000"/>
          <w:kern w:val="0"/>
          <w:sz w:val="32"/>
          <w:szCs w:val="32"/>
          <w:shd w:val="clear" w:color="auto" w:fill="FFFFFF"/>
        </w:rPr>
        <w:t>二、人大职责：1、审查和批准本行政区域内的财政预算和预算执行情况的报告。2、决定本行政区域内的民政工作的实施计划。3、听取和审查镇人民政府的工作报告。</w:t>
      </w:r>
    </w:p>
    <w:p>
      <w:pPr>
        <w:widowControl/>
        <w:shd w:val="clear" w:color="auto" w:fill="FFFFFF"/>
        <w:spacing w:line="600" w:lineRule="exact"/>
        <w:ind w:firstLine="420"/>
        <w:rPr>
          <w:rFonts w:ascii="仿宋" w:hAnsi="仿宋" w:eastAsia="仿宋" w:cs="宋体"/>
          <w:color w:val="000000"/>
          <w:sz w:val="32"/>
          <w:szCs w:val="32"/>
        </w:rPr>
      </w:pPr>
      <w:r>
        <w:rPr>
          <w:rFonts w:ascii="仿宋" w:eastAsia="仿宋" w:cs="仿宋_GB2312"/>
          <w:color w:val="000000"/>
          <w:kern w:val="0"/>
          <w:sz w:val="32"/>
          <w:szCs w:val="32"/>
          <w:shd w:val="clear" w:color="auto" w:fill="FFFFFF"/>
        </w:rPr>
        <w:t> </w:t>
      </w:r>
      <w:r>
        <w:rPr>
          <w:rFonts w:ascii="仿宋" w:hAnsi="仿宋" w:eastAsia="仿宋" w:cs="仿宋_GB2312"/>
          <w:color w:val="000000"/>
          <w:kern w:val="0"/>
          <w:sz w:val="32"/>
          <w:szCs w:val="32"/>
          <w:shd w:val="clear" w:color="auto" w:fill="FFFFFF"/>
        </w:rPr>
        <w:t>三、政府职责：</w:t>
      </w:r>
      <w:r>
        <w:rPr>
          <w:rFonts w:hint="eastAsia" w:ascii="仿宋" w:hAnsi="仿宋" w:eastAsia="仿宋" w:cs="仿宋_GB2312"/>
          <w:color w:val="000000"/>
          <w:kern w:val="0"/>
          <w:sz w:val="32"/>
          <w:szCs w:val="32"/>
          <w:shd w:val="clear" w:color="auto" w:fill="FFFFFF"/>
        </w:rPr>
        <w:t xml:space="preserve"> </w:t>
      </w:r>
      <w:r>
        <w:rPr>
          <w:rFonts w:ascii="仿宋" w:hAnsi="仿宋" w:eastAsia="仿宋" w:cs="仿宋_GB2312"/>
          <w:color w:val="000000"/>
          <w:kern w:val="0"/>
          <w:sz w:val="32"/>
          <w:szCs w:val="32"/>
          <w:shd w:val="clear" w:color="auto" w:fill="FFFFFF"/>
        </w:rPr>
        <w:t>1、落实政策。宣传、落实好党的路线、方针、政策和国家的法律、法规；稳定农村基本经济制度；坚持依法行政，推进政务公开；加强对村民委员会的指导、提高，培育村民委员会自治能力。</w:t>
      </w:r>
      <w:r>
        <w:rPr>
          <w:rFonts w:ascii="仿宋" w:eastAsia="仿宋" w:cs="仿宋_GB2312"/>
          <w:color w:val="000000"/>
          <w:kern w:val="0"/>
          <w:sz w:val="32"/>
          <w:szCs w:val="32"/>
          <w:shd w:val="clear" w:color="auto" w:fill="FFFFFF"/>
        </w:rPr>
        <w:t> </w:t>
      </w:r>
      <w:r>
        <w:rPr>
          <w:rFonts w:ascii="仿宋" w:hAnsi="仿宋" w:eastAsia="仿宋" w:cs="仿宋_GB2312"/>
          <w:color w:val="000000"/>
          <w:kern w:val="0"/>
          <w:sz w:val="32"/>
          <w:szCs w:val="32"/>
          <w:shd w:val="clear" w:color="auto" w:fill="FFFFFF"/>
        </w:rPr>
        <w:t>2、促进发展。编制好科学发展规划，营造好科学发展环境，突出镇域特色，加强城镇建设，发展特色经济；切实加强农村市场监督，培育、提升市场功能，搞活市场流通，推广农业技术，调整产业结构，引导农民发展现代农业；加强农村劳动力技能培训，抓好农村劳动力转移和就业。</w:t>
      </w:r>
      <w:r>
        <w:rPr>
          <w:rFonts w:ascii="仿宋" w:hAnsi="仿宋" w:eastAsia="仿宋" w:cs="仿宋_GB2312"/>
          <w:color w:val="000000"/>
          <w:sz w:val="32"/>
          <w:szCs w:val="32"/>
          <w:shd w:val="clear" w:color="auto" w:fill="FFFFFF"/>
        </w:rPr>
        <w:t>3、维护稳定。坚持“立党为公，执政为民”，紧紧围绕实现和维护群众利益开展工作，突出解决人民群众最关心、最直接、最现实的利益问题，加强和巩固农村基层政权和民主法制建设，加强社会治安综合治理；建立、健全各种应急机制，加强对突发事件的预警和管理；加强民事纠纷调解，化解农村矛盾；开展农村扶贫和社会救助，切实保障农民合法权益，维护农村社会稳定。</w:t>
      </w:r>
    </w:p>
    <w:p>
      <w:pPr>
        <w:widowControl/>
        <w:shd w:val="clear" w:color="auto" w:fill="FFFFFF"/>
        <w:spacing w:line="600" w:lineRule="exact"/>
        <w:rPr>
          <w:rFonts w:ascii="仿宋" w:hAnsi="仿宋" w:eastAsia="仿宋" w:cs="宋体"/>
          <w:color w:val="000000"/>
          <w:sz w:val="32"/>
          <w:szCs w:val="32"/>
        </w:rPr>
      </w:pPr>
      <w:r>
        <w:rPr>
          <w:rFonts w:ascii="仿宋" w:eastAsia="仿宋" w:cs="仿宋_GB2312"/>
          <w:color w:val="000000"/>
          <w:kern w:val="0"/>
          <w:sz w:val="32"/>
          <w:szCs w:val="32"/>
          <w:shd w:val="clear" w:color="auto" w:fill="FFFFFF"/>
        </w:rPr>
        <w:t>   </w:t>
      </w:r>
      <w:r>
        <w:rPr>
          <w:rFonts w:hint="eastAsia" w:ascii="仿宋" w:hAnsi="仿宋" w:eastAsia="仿宋" w:cs="仿宋_GB2312"/>
          <w:color w:val="000000"/>
          <w:kern w:val="0"/>
          <w:sz w:val="32"/>
          <w:szCs w:val="32"/>
          <w:shd w:val="clear" w:color="auto" w:fill="FFFFFF"/>
        </w:rPr>
        <w:t xml:space="preserve">  </w:t>
      </w:r>
      <w:r>
        <w:rPr>
          <w:rFonts w:ascii="仿宋" w:eastAsia="仿宋" w:cs="仿宋_GB2312"/>
          <w:color w:val="000000"/>
          <w:kern w:val="0"/>
          <w:sz w:val="32"/>
          <w:szCs w:val="32"/>
          <w:shd w:val="clear" w:color="auto" w:fill="FFFFFF"/>
        </w:rPr>
        <w:t> </w:t>
      </w:r>
      <w:r>
        <w:rPr>
          <w:rFonts w:ascii="仿宋" w:hAnsi="仿宋" w:eastAsia="仿宋" w:cs="仿宋_GB2312"/>
          <w:color w:val="000000"/>
          <w:kern w:val="0"/>
          <w:sz w:val="32"/>
          <w:szCs w:val="32"/>
          <w:shd w:val="clear" w:color="auto" w:fill="FFFFFF"/>
        </w:rPr>
        <w:t>四、财政职责：</w:t>
      </w:r>
      <w:r>
        <w:rPr>
          <w:rFonts w:hint="eastAsia" w:ascii="仿宋" w:hAnsi="仿宋" w:eastAsia="仿宋" w:cs="仿宋_GB2312"/>
          <w:color w:val="000000"/>
          <w:kern w:val="0"/>
          <w:sz w:val="32"/>
          <w:szCs w:val="32"/>
          <w:shd w:val="clear" w:color="auto" w:fill="FFFFFF"/>
        </w:rPr>
        <w:t xml:space="preserve"> </w:t>
      </w:r>
      <w:r>
        <w:rPr>
          <w:rFonts w:ascii="仿宋" w:hAnsi="仿宋" w:eastAsia="仿宋" w:cs="仿宋_GB2312"/>
          <w:color w:val="000000"/>
          <w:kern w:val="0"/>
          <w:sz w:val="32"/>
          <w:szCs w:val="32"/>
          <w:shd w:val="clear" w:color="auto" w:fill="FFFFFF"/>
        </w:rPr>
        <w:t>1、管理镇级财政基本建设支出；制定和监督执行基本建设财务管理制度；负责城市维护建设资金与财务管理。</w:t>
      </w:r>
      <w:r>
        <w:rPr>
          <w:rFonts w:ascii="仿宋" w:hAnsi="仿宋" w:eastAsia="仿宋" w:cs="仿宋_GB2312"/>
          <w:color w:val="000000"/>
          <w:sz w:val="32"/>
          <w:szCs w:val="32"/>
          <w:shd w:val="clear" w:color="auto" w:fill="FFFFFF"/>
        </w:rPr>
        <w:t>2、管理全镇会计工作；监督执行会计规章制度、《企业会计准则》，监督执行政府总预算、行政事业单位及行业会计制度；指导和管理社会审计；组织实施和指导会计委派制工作</w:t>
      </w:r>
      <w:r>
        <w:rPr>
          <w:rFonts w:hint="eastAsia" w:ascii="仿宋" w:hAnsi="仿宋" w:eastAsia="仿宋" w:cs="仿宋_GB2312"/>
          <w:color w:val="000000"/>
          <w:sz w:val="32"/>
          <w:szCs w:val="32"/>
          <w:shd w:val="clear" w:color="auto" w:fill="FFFFFF"/>
        </w:rPr>
        <w:t>。</w:t>
      </w:r>
    </w:p>
    <w:p>
      <w:pPr>
        <w:widowControl/>
        <w:shd w:val="clear" w:color="auto" w:fill="FFFFFF"/>
        <w:spacing w:line="600" w:lineRule="exact"/>
        <w:ind w:firstLine="560"/>
        <w:rPr>
          <w:rFonts w:ascii="仿宋" w:hAnsi="仿宋" w:eastAsia="仿宋" w:cs="Calibri"/>
          <w:color w:val="000000"/>
          <w:sz w:val="32"/>
          <w:szCs w:val="32"/>
        </w:rPr>
      </w:pPr>
      <w:r>
        <w:rPr>
          <w:rFonts w:ascii="仿宋" w:hAnsi="仿宋" w:eastAsia="仿宋" w:cs="仿宋_GB2312"/>
          <w:color w:val="000000"/>
          <w:kern w:val="0"/>
          <w:sz w:val="32"/>
          <w:szCs w:val="32"/>
          <w:shd w:val="clear" w:color="auto" w:fill="FFFFFF"/>
        </w:rPr>
        <w:t>五、水利职责：1、负责生活、生产经营、生态环境用水的统筹兼顾和保障。负责水资源的统一监督管理；组织开展水资源调查评价工作，开展水能资源调查工作；指导水利行业供水和乡镇供水工作。</w:t>
      </w:r>
      <w:r>
        <w:rPr>
          <w:rFonts w:hint="eastAsia" w:ascii="仿宋" w:hAnsi="仿宋" w:eastAsia="仿宋" w:cs="仿宋_GB2312"/>
          <w:color w:val="000000"/>
          <w:kern w:val="0"/>
          <w:sz w:val="32"/>
          <w:szCs w:val="32"/>
          <w:shd w:val="clear" w:color="auto" w:fill="FFFFFF"/>
        </w:rPr>
        <w:t xml:space="preserve"> </w:t>
      </w:r>
      <w:r>
        <w:rPr>
          <w:rFonts w:ascii="仿宋" w:hAnsi="仿宋" w:eastAsia="仿宋" w:cs="仿宋_GB2312"/>
          <w:color w:val="000000"/>
          <w:kern w:val="0"/>
          <w:sz w:val="32"/>
          <w:szCs w:val="32"/>
          <w:shd w:val="clear" w:color="auto" w:fill="FFFFFF"/>
        </w:rPr>
        <w:t>2、负责水资源保护工作。组织编制水资源保护规划，组织拟定主要江河的水功能区划并监督实施，核定水域纳污能力，指导饮用水、水源保护、地下水开发利用和城市规划区地下水资源管理保护工作；发布全市水资源公报。</w:t>
      </w:r>
    </w:p>
    <w:p>
      <w:pPr>
        <w:widowControl/>
        <w:shd w:val="clear" w:color="auto" w:fill="FFFFFF"/>
        <w:spacing w:line="600" w:lineRule="exact"/>
        <w:rPr>
          <w:rFonts w:ascii="仿宋" w:hAnsi="仿宋" w:eastAsia="仿宋" w:cs="Calibri"/>
          <w:color w:val="000000"/>
          <w:sz w:val="32"/>
          <w:szCs w:val="32"/>
        </w:rPr>
      </w:pPr>
      <w:r>
        <w:rPr>
          <w:rFonts w:ascii="仿宋" w:eastAsia="仿宋" w:cs="仿宋_GB2312"/>
          <w:color w:val="000000"/>
          <w:kern w:val="0"/>
          <w:sz w:val="32"/>
          <w:szCs w:val="32"/>
          <w:shd w:val="clear" w:color="auto" w:fill="FFFFFF"/>
        </w:rPr>
        <w:t>  </w:t>
      </w:r>
      <w:r>
        <w:rPr>
          <w:rFonts w:hint="eastAsia" w:ascii="仿宋" w:eastAsia="仿宋" w:cs="仿宋_GB2312"/>
          <w:color w:val="000000"/>
          <w:kern w:val="0"/>
          <w:sz w:val="32"/>
          <w:szCs w:val="32"/>
          <w:shd w:val="clear" w:color="auto" w:fill="FFFFFF"/>
        </w:rPr>
        <w:t xml:space="preserve">  </w:t>
      </w:r>
      <w:r>
        <w:rPr>
          <w:rFonts w:ascii="仿宋" w:eastAsia="仿宋" w:cs="仿宋_GB2312"/>
          <w:color w:val="000000"/>
          <w:kern w:val="0"/>
          <w:sz w:val="32"/>
          <w:szCs w:val="32"/>
          <w:shd w:val="clear" w:color="auto" w:fill="FFFFFF"/>
        </w:rPr>
        <w:t> </w:t>
      </w:r>
      <w:r>
        <w:rPr>
          <w:rFonts w:ascii="仿宋" w:hAnsi="仿宋" w:eastAsia="仿宋" w:cs="仿宋_GB2312"/>
          <w:color w:val="000000"/>
          <w:kern w:val="0"/>
          <w:sz w:val="32"/>
          <w:szCs w:val="32"/>
          <w:shd w:val="clear" w:color="auto" w:fill="FFFFFF"/>
        </w:rPr>
        <w:t>六、农业职责：</w:t>
      </w:r>
      <w:r>
        <w:rPr>
          <w:rFonts w:hint="eastAsia" w:ascii="仿宋" w:hAnsi="仿宋" w:eastAsia="仿宋" w:cs="仿宋_GB2312"/>
          <w:color w:val="000000"/>
          <w:kern w:val="0"/>
          <w:sz w:val="32"/>
          <w:szCs w:val="32"/>
          <w:shd w:val="clear" w:color="auto" w:fill="FFFFFF"/>
        </w:rPr>
        <w:t xml:space="preserve"> </w:t>
      </w:r>
      <w:r>
        <w:rPr>
          <w:rFonts w:ascii="仿宋" w:hAnsi="仿宋" w:eastAsia="仿宋" w:cs="仿宋_GB2312"/>
          <w:color w:val="000000"/>
          <w:kern w:val="0"/>
          <w:sz w:val="32"/>
          <w:szCs w:val="32"/>
          <w:shd w:val="clear" w:color="auto" w:fill="FFFFFF"/>
        </w:rPr>
        <w:t>1、负责主管产业产品、绿色食品的质量监督、认证和农业植物新品种的保护工作；组织种子、农药、农业机械等质量的检测、鉴定和执法监督管理；组织监督县内植物防疫、检疫工作，发布疫情并组织扑灭。</w:t>
      </w:r>
      <w:r>
        <w:rPr>
          <w:rFonts w:hint="eastAsia" w:ascii="仿宋" w:hAnsi="仿宋" w:eastAsia="仿宋" w:cs="仿宋_GB2312"/>
          <w:color w:val="000000"/>
          <w:kern w:val="0"/>
          <w:sz w:val="32"/>
          <w:szCs w:val="32"/>
          <w:shd w:val="clear" w:color="auto" w:fill="FFFFFF"/>
        </w:rPr>
        <w:t xml:space="preserve"> </w:t>
      </w:r>
      <w:r>
        <w:rPr>
          <w:rFonts w:ascii="仿宋" w:hAnsi="仿宋" w:eastAsia="仿宋" w:cs="仿宋_GB2312"/>
          <w:color w:val="000000"/>
          <w:kern w:val="0"/>
          <w:sz w:val="32"/>
          <w:szCs w:val="32"/>
          <w:shd w:val="clear" w:color="auto" w:fill="FFFFFF"/>
        </w:rPr>
        <w:t>2、负责农业、农机涉外事务；组织农业经济对外交流与合作。</w:t>
      </w:r>
      <w:r>
        <w:rPr>
          <w:rFonts w:hint="eastAsia" w:ascii="仿宋" w:hAnsi="仿宋" w:eastAsia="仿宋" w:cs="仿宋_GB2312"/>
          <w:color w:val="000000"/>
          <w:kern w:val="0"/>
          <w:sz w:val="32"/>
          <w:szCs w:val="32"/>
          <w:shd w:val="clear" w:color="auto" w:fill="FFFFFF"/>
        </w:rPr>
        <w:t xml:space="preserve"> </w:t>
      </w:r>
      <w:r>
        <w:rPr>
          <w:rFonts w:ascii="仿宋" w:hAnsi="仿宋" w:eastAsia="仿宋" w:cs="仿宋_GB2312"/>
          <w:color w:val="000000"/>
          <w:kern w:val="0"/>
          <w:sz w:val="32"/>
          <w:szCs w:val="32"/>
          <w:shd w:val="clear" w:color="auto" w:fill="FFFFFF"/>
        </w:rPr>
        <w:t>3、组织生态农业和农业可持续发展工作；指导农用地农村可再生资源开发利用和农业生物物种资源保护与管理。</w:t>
      </w:r>
      <w:r>
        <w:rPr>
          <w:rFonts w:hint="eastAsia" w:ascii="仿宋" w:hAnsi="仿宋" w:eastAsia="仿宋" w:cs="仿宋_GB2312"/>
          <w:color w:val="000000"/>
          <w:kern w:val="0"/>
          <w:sz w:val="32"/>
          <w:szCs w:val="32"/>
          <w:shd w:val="clear" w:color="auto" w:fill="FFFFFF"/>
        </w:rPr>
        <w:t xml:space="preserve"> </w:t>
      </w:r>
      <w:r>
        <w:rPr>
          <w:rFonts w:ascii="仿宋" w:eastAsia="仿宋" w:cs="仿宋_GB2312"/>
          <w:color w:val="000000"/>
          <w:kern w:val="0"/>
          <w:sz w:val="32"/>
          <w:szCs w:val="32"/>
          <w:shd w:val="clear" w:color="auto" w:fill="FFFFFF"/>
        </w:rPr>
        <w:t> </w:t>
      </w:r>
      <w:r>
        <w:rPr>
          <w:rFonts w:ascii="仿宋" w:hAnsi="仿宋" w:eastAsia="仿宋" w:cs="仿宋_GB2312"/>
          <w:color w:val="000000"/>
          <w:kern w:val="0"/>
          <w:sz w:val="32"/>
          <w:szCs w:val="32"/>
          <w:shd w:val="clear" w:color="auto" w:fill="FFFFFF"/>
        </w:rPr>
        <w:t>4、承办镇政府交办的其它事项。</w:t>
      </w:r>
    </w:p>
    <w:p>
      <w:pPr>
        <w:widowControl/>
        <w:shd w:val="clear" w:color="auto" w:fill="FFFFFF"/>
        <w:spacing w:line="600" w:lineRule="exact"/>
        <w:jc w:val="left"/>
        <w:rPr>
          <w:rFonts w:ascii="仿宋" w:hAnsi="仿宋" w:eastAsia="仿宋" w:cs="Calibri"/>
          <w:color w:val="000000"/>
          <w:sz w:val="32"/>
          <w:szCs w:val="32"/>
        </w:rPr>
      </w:pPr>
      <w:r>
        <w:rPr>
          <w:rFonts w:ascii="仿宋" w:eastAsia="仿宋" w:cs="仿宋_GB2312"/>
          <w:color w:val="000000"/>
          <w:kern w:val="0"/>
          <w:sz w:val="32"/>
          <w:szCs w:val="32"/>
          <w:shd w:val="clear" w:color="auto" w:fill="FFFFFF"/>
        </w:rPr>
        <w:t>  </w:t>
      </w:r>
      <w:r>
        <w:rPr>
          <w:rFonts w:hint="eastAsia" w:ascii="仿宋" w:eastAsia="仿宋" w:cs="仿宋_GB2312"/>
          <w:color w:val="000000"/>
          <w:kern w:val="0"/>
          <w:sz w:val="32"/>
          <w:szCs w:val="32"/>
          <w:shd w:val="clear" w:color="auto" w:fill="FFFFFF"/>
        </w:rPr>
        <w:t xml:space="preserve">  </w:t>
      </w:r>
      <w:r>
        <w:rPr>
          <w:rFonts w:ascii="仿宋" w:eastAsia="仿宋" w:cs="仿宋_GB2312"/>
          <w:color w:val="000000"/>
          <w:kern w:val="0"/>
          <w:sz w:val="32"/>
          <w:szCs w:val="32"/>
          <w:shd w:val="clear" w:color="auto" w:fill="FFFFFF"/>
        </w:rPr>
        <w:t> </w:t>
      </w:r>
      <w:r>
        <w:rPr>
          <w:rFonts w:ascii="仿宋" w:hAnsi="仿宋" w:eastAsia="仿宋" w:cs="仿宋_GB2312"/>
          <w:color w:val="000000"/>
          <w:kern w:val="0"/>
          <w:sz w:val="32"/>
          <w:szCs w:val="32"/>
          <w:shd w:val="clear" w:color="auto" w:fill="FFFFFF"/>
        </w:rPr>
        <w:t>七、计生职责：1、负责全镇人口和计划生育工作的国际交流与合作，管理计划生育国际援助项目。</w:t>
      </w:r>
      <w:r>
        <w:rPr>
          <w:rFonts w:ascii="仿宋" w:eastAsia="仿宋" w:cs="仿宋_GB2312"/>
          <w:color w:val="000000"/>
          <w:kern w:val="0"/>
          <w:sz w:val="32"/>
          <w:szCs w:val="32"/>
          <w:shd w:val="clear" w:color="auto" w:fill="FFFFFF"/>
        </w:rPr>
        <w:t>  </w:t>
      </w:r>
      <w:r>
        <w:rPr>
          <w:rFonts w:ascii="仿宋" w:hAnsi="仿宋" w:eastAsia="仿宋" w:cs="仿宋_GB2312"/>
          <w:color w:val="000000"/>
          <w:kern w:val="0"/>
          <w:sz w:val="32"/>
          <w:szCs w:val="32"/>
          <w:shd w:val="clear" w:color="auto" w:fill="FFFFFF"/>
        </w:rPr>
        <w:t>2、承办镇人口和计划生育领导小组的日常工作。</w:t>
      </w:r>
      <w:r>
        <w:rPr>
          <w:rFonts w:ascii="仿宋" w:eastAsia="仿宋" w:cs="仿宋_GB2312"/>
          <w:color w:val="000000"/>
          <w:kern w:val="0"/>
          <w:sz w:val="32"/>
          <w:szCs w:val="32"/>
          <w:shd w:val="clear" w:color="auto" w:fill="FFFFFF"/>
        </w:rPr>
        <w:t> </w:t>
      </w:r>
      <w:r>
        <w:rPr>
          <w:rFonts w:hint="eastAsia" w:ascii="仿宋" w:hAnsi="仿宋" w:eastAsia="仿宋" w:cs="仿宋_GB2312"/>
          <w:color w:val="000000"/>
          <w:kern w:val="0"/>
          <w:sz w:val="32"/>
          <w:szCs w:val="32"/>
          <w:shd w:val="clear" w:color="auto" w:fill="FFFFFF"/>
        </w:rPr>
        <w:t xml:space="preserve"> </w:t>
      </w:r>
      <w:r>
        <w:rPr>
          <w:rFonts w:ascii="仿宋" w:hAnsi="仿宋" w:eastAsia="仿宋" w:cs="仿宋_GB2312"/>
          <w:color w:val="000000"/>
          <w:kern w:val="0"/>
          <w:sz w:val="32"/>
          <w:szCs w:val="32"/>
          <w:shd w:val="clear" w:color="auto" w:fill="FFFFFF"/>
        </w:rPr>
        <w:t>3、指导有关人口和计划生育社会团体的工作。</w:t>
      </w:r>
      <w:r>
        <w:rPr>
          <w:rFonts w:hint="eastAsia" w:ascii="仿宋" w:hAnsi="仿宋" w:eastAsia="仿宋" w:cs="仿宋_GB2312"/>
          <w:color w:val="000000"/>
          <w:kern w:val="0"/>
          <w:sz w:val="32"/>
          <w:szCs w:val="32"/>
          <w:shd w:val="clear" w:color="auto" w:fill="FFFFFF"/>
        </w:rPr>
        <w:t xml:space="preserve"> </w:t>
      </w:r>
      <w:r>
        <w:rPr>
          <w:rFonts w:ascii="仿宋" w:hAnsi="仿宋" w:eastAsia="仿宋" w:cs="仿宋_GB2312"/>
          <w:color w:val="000000"/>
          <w:kern w:val="0"/>
          <w:sz w:val="32"/>
          <w:szCs w:val="32"/>
          <w:shd w:val="clear" w:color="auto" w:fill="FFFFFF"/>
        </w:rPr>
        <w:t>4、承办镇政府交办的其他事项。</w:t>
      </w:r>
    </w:p>
    <w:p>
      <w:pPr>
        <w:widowControl/>
        <w:shd w:val="clear" w:color="auto" w:fill="FFFFFF"/>
        <w:spacing w:line="600" w:lineRule="exact"/>
        <w:ind w:firstLine="560"/>
        <w:jc w:val="left"/>
        <w:rPr>
          <w:rFonts w:ascii="仿宋" w:hAnsi="仿宋" w:eastAsia="仿宋" w:cs="Calibri"/>
          <w:color w:val="000000"/>
          <w:sz w:val="32"/>
          <w:szCs w:val="32"/>
        </w:rPr>
      </w:pPr>
      <w:r>
        <w:rPr>
          <w:rFonts w:ascii="仿宋" w:hAnsi="仿宋" w:eastAsia="仿宋" w:cs="仿宋_GB2312"/>
          <w:color w:val="000000"/>
          <w:kern w:val="0"/>
          <w:sz w:val="32"/>
          <w:szCs w:val="32"/>
          <w:shd w:val="clear" w:color="auto" w:fill="FFFFFF"/>
        </w:rPr>
        <w:t>八、民政职责：</w:t>
      </w:r>
      <w:r>
        <w:rPr>
          <w:rFonts w:ascii="仿宋" w:hAnsi="仿宋" w:eastAsia="仿宋" w:cs="仿宋_GB2312"/>
          <w:color w:val="333333"/>
          <w:kern w:val="0"/>
          <w:sz w:val="32"/>
          <w:szCs w:val="32"/>
          <w:shd w:val="clear" w:color="auto" w:fill="FFFFFF"/>
        </w:rPr>
        <w:t>负责烈属抚恤和伤残军人、孤老、革命烈属、义务兵家属、革命伤残军人的群众优待和革命烈士报批、革命伤残人员评残工作；指导优抚事业和革命烈士纪念建筑物的建设和管理。</w:t>
      </w:r>
    </w:p>
    <w:p>
      <w:pPr>
        <w:widowControl/>
        <w:shd w:val="clear" w:color="auto" w:fill="FFFFFF"/>
        <w:spacing w:line="600" w:lineRule="exact"/>
        <w:rPr>
          <w:rFonts w:ascii="仿宋" w:hAnsi="仿宋" w:eastAsia="仿宋" w:cs="Calibri"/>
          <w:color w:val="000000"/>
          <w:sz w:val="32"/>
          <w:szCs w:val="32"/>
        </w:rPr>
      </w:pPr>
      <w:r>
        <w:rPr>
          <w:rFonts w:ascii="仿宋" w:eastAsia="仿宋" w:cs="仿宋_GB2312"/>
          <w:color w:val="333333"/>
          <w:kern w:val="0"/>
          <w:sz w:val="32"/>
          <w:szCs w:val="32"/>
          <w:shd w:val="clear" w:color="auto" w:fill="FFFFFF"/>
        </w:rPr>
        <w:t>    </w:t>
      </w:r>
      <w:r>
        <w:rPr>
          <w:rFonts w:hint="eastAsia" w:ascii="仿宋" w:hAnsi="仿宋" w:eastAsia="仿宋" w:cs="仿宋_GB2312"/>
          <w:color w:val="333333"/>
          <w:kern w:val="0"/>
          <w:sz w:val="32"/>
          <w:szCs w:val="32"/>
          <w:shd w:val="clear" w:color="auto" w:fill="FFFFFF"/>
        </w:rPr>
        <w:t xml:space="preserve">  </w:t>
      </w:r>
      <w:r>
        <w:rPr>
          <w:rFonts w:ascii="仿宋" w:hAnsi="仿宋" w:eastAsia="仿宋" w:cs="仿宋_GB2312"/>
          <w:color w:val="333333"/>
          <w:kern w:val="0"/>
          <w:sz w:val="32"/>
          <w:szCs w:val="32"/>
          <w:shd w:val="clear" w:color="auto" w:fill="FFFFFF"/>
        </w:rPr>
        <w:t>九、社团职责：</w:t>
      </w:r>
      <w:r>
        <w:rPr>
          <w:rFonts w:hint="eastAsia" w:ascii="仿宋" w:hAnsi="仿宋" w:eastAsia="仿宋" w:cs="仿宋_GB2312"/>
          <w:color w:val="333333"/>
          <w:kern w:val="0"/>
          <w:sz w:val="32"/>
          <w:szCs w:val="32"/>
          <w:shd w:val="clear" w:color="auto" w:fill="FFFFFF"/>
        </w:rPr>
        <w:t>1、</w:t>
      </w:r>
      <w:r>
        <w:rPr>
          <w:rFonts w:ascii="仿宋" w:hAnsi="仿宋" w:eastAsia="仿宋" w:cs="仿宋_GB2312"/>
          <w:color w:val="000000"/>
          <w:kern w:val="0"/>
          <w:sz w:val="32"/>
          <w:szCs w:val="32"/>
          <w:shd w:val="clear" w:color="auto" w:fill="FFFFFF"/>
        </w:rPr>
        <w:t>加强团组织建设，培养青年积极分子，指导基层团支部发展新团员工作，推荐优秀团员作为党的发展对象。2、组织对团员青年开展爱国主义、社会主义、共产主义理想信念、法制观念和思想道德的教育。</w:t>
      </w:r>
    </w:p>
    <w:p>
      <w:pPr>
        <w:widowControl/>
        <w:shd w:val="clear" w:color="auto" w:fill="FFFFFF"/>
        <w:spacing w:line="600" w:lineRule="exact"/>
        <w:ind w:firstLine="560"/>
        <w:rPr>
          <w:rFonts w:ascii="仿宋" w:hAnsi="仿宋" w:eastAsia="仿宋" w:cs="Calibri"/>
          <w:color w:val="000000"/>
          <w:sz w:val="32"/>
          <w:szCs w:val="32"/>
        </w:rPr>
      </w:pPr>
      <w:r>
        <w:rPr>
          <w:rFonts w:ascii="仿宋" w:hAnsi="仿宋" w:eastAsia="仿宋" w:cs="仿宋_GB2312"/>
          <w:color w:val="000000"/>
          <w:kern w:val="0"/>
          <w:sz w:val="32"/>
          <w:szCs w:val="32"/>
          <w:shd w:val="clear" w:color="auto" w:fill="FFFFFF"/>
        </w:rPr>
        <w:t>十、司法职责：1、管理和指导全镇法律服务机构和人民调解组织依法开展工作</w:t>
      </w:r>
      <w:r>
        <w:rPr>
          <w:rFonts w:hint="eastAsia" w:ascii="仿宋" w:hAnsi="仿宋" w:eastAsia="仿宋" w:cs="仿宋_GB2312"/>
          <w:color w:val="000000"/>
          <w:kern w:val="0"/>
          <w:sz w:val="32"/>
          <w:szCs w:val="32"/>
          <w:shd w:val="clear" w:color="auto" w:fill="FFFFFF"/>
        </w:rPr>
        <w:t>。</w:t>
      </w:r>
      <w:r>
        <w:rPr>
          <w:rFonts w:ascii="仿宋" w:eastAsia="仿宋" w:cs="仿宋_GB2312"/>
          <w:color w:val="000000"/>
          <w:kern w:val="0"/>
          <w:sz w:val="32"/>
          <w:szCs w:val="32"/>
          <w:shd w:val="clear" w:color="auto" w:fill="FFFFFF"/>
        </w:rPr>
        <w:t> </w:t>
      </w:r>
      <w:r>
        <w:rPr>
          <w:rFonts w:ascii="仿宋" w:hAnsi="仿宋" w:eastAsia="仿宋" w:cs="仿宋_GB2312"/>
          <w:color w:val="000000"/>
          <w:kern w:val="0"/>
          <w:sz w:val="32"/>
          <w:szCs w:val="32"/>
          <w:shd w:val="clear" w:color="auto" w:fill="FFFFFF"/>
        </w:rPr>
        <w:t>2、负责全镇司法行政系统工作人员和人民调解员的政治思想教育及业务培训工作。</w:t>
      </w:r>
      <w:r>
        <w:rPr>
          <w:rFonts w:hint="eastAsia" w:ascii="仿宋" w:hAnsi="仿宋" w:eastAsia="仿宋" w:cs="仿宋_GB2312"/>
          <w:color w:val="000000"/>
          <w:kern w:val="0"/>
          <w:sz w:val="32"/>
          <w:szCs w:val="32"/>
          <w:shd w:val="clear" w:color="auto" w:fill="FFFFFF"/>
        </w:rPr>
        <w:t xml:space="preserve"> </w:t>
      </w:r>
      <w:r>
        <w:rPr>
          <w:rFonts w:ascii="仿宋" w:hAnsi="仿宋" w:eastAsia="仿宋" w:cs="仿宋_GB2312"/>
          <w:color w:val="000000"/>
          <w:kern w:val="0"/>
          <w:sz w:val="32"/>
          <w:szCs w:val="32"/>
          <w:shd w:val="clear" w:color="auto" w:fill="FFFFFF"/>
        </w:rPr>
        <w:t>3、承办镇党委政府及上级主管机关、业务部门交办的其它工作</w:t>
      </w:r>
      <w:r>
        <w:rPr>
          <w:rFonts w:hint="eastAsia" w:ascii="仿宋" w:hAnsi="仿宋" w:eastAsia="仿宋" w:cs="仿宋_GB2312"/>
          <w:color w:val="000000"/>
          <w:kern w:val="0"/>
          <w:sz w:val="32"/>
          <w:szCs w:val="32"/>
          <w:shd w:val="clear" w:color="auto" w:fill="FFFFFF"/>
        </w:rPr>
        <w:t>。</w:t>
      </w:r>
    </w:p>
    <w:p>
      <w:pPr>
        <w:widowControl/>
        <w:shd w:val="clear" w:color="auto" w:fill="FFFFFF"/>
        <w:spacing w:line="600" w:lineRule="exact"/>
        <w:ind w:firstLine="560"/>
        <w:rPr>
          <w:rFonts w:ascii="仿宋" w:hAnsi="仿宋" w:eastAsia="仿宋" w:cs="仿宋_GB2312"/>
          <w:color w:val="000000"/>
          <w:kern w:val="0"/>
          <w:sz w:val="32"/>
          <w:szCs w:val="32"/>
          <w:shd w:val="clear" w:color="auto" w:fill="FFFFFF"/>
        </w:rPr>
      </w:pPr>
      <w:r>
        <w:rPr>
          <w:rFonts w:ascii="仿宋" w:hAnsi="仿宋" w:eastAsia="仿宋" w:cs="仿宋_GB2312"/>
          <w:color w:val="000000"/>
          <w:kern w:val="0"/>
          <w:sz w:val="32"/>
          <w:szCs w:val="32"/>
          <w:shd w:val="clear" w:color="auto" w:fill="FFFFFF"/>
        </w:rPr>
        <w:t>十一、林业职责</w:t>
      </w:r>
      <w:r>
        <w:rPr>
          <w:rFonts w:hint="eastAsia" w:ascii="仿宋" w:hAnsi="仿宋" w:eastAsia="仿宋" w:cs="仿宋_GB2312"/>
          <w:color w:val="000000"/>
          <w:kern w:val="0"/>
          <w:sz w:val="32"/>
          <w:szCs w:val="32"/>
          <w:shd w:val="clear" w:color="auto" w:fill="FFFFFF"/>
        </w:rPr>
        <w:t>：</w:t>
      </w:r>
      <w:r>
        <w:rPr>
          <w:rFonts w:ascii="仿宋" w:hAnsi="仿宋" w:eastAsia="仿宋" w:cs="仿宋_GB2312"/>
          <w:color w:val="000000"/>
          <w:kern w:val="0"/>
          <w:sz w:val="32"/>
          <w:szCs w:val="32"/>
          <w:shd w:val="clear" w:color="auto" w:fill="FFFFFF"/>
        </w:rPr>
        <w:t>1、执行本行政区域的经济和社会发展计划，加强公共设施的建设和管理，发展各项服务事业。2、研制并示范推广林业生产管理的良种、良法，提高林产品品质和经济效益。3、改善林果产业生产基础设施条件，改变落后的生产方式和技术手段，培育和壮大龙头企业。</w:t>
      </w:r>
    </w:p>
    <w:p>
      <w:pPr>
        <w:widowControl/>
        <w:shd w:val="clear" w:color="auto" w:fill="FFFFFF"/>
        <w:spacing w:line="600" w:lineRule="exact"/>
        <w:ind w:firstLine="560"/>
        <w:rPr>
          <w:rFonts w:ascii="仿宋" w:hAnsi="仿宋" w:eastAsia="仿宋" w:cs="仿宋_GB2312"/>
          <w:color w:val="000000"/>
          <w:kern w:val="0"/>
          <w:sz w:val="32"/>
          <w:szCs w:val="32"/>
          <w:shd w:val="clear" w:color="auto" w:fill="FFFFFF"/>
        </w:rPr>
      </w:pPr>
      <w:r>
        <w:rPr>
          <w:rFonts w:hint="eastAsia" w:ascii="仿宋" w:hAnsi="仿宋" w:eastAsia="仿宋" w:cs="仿宋_GB2312"/>
          <w:b/>
          <w:bCs/>
          <w:color w:val="000000"/>
          <w:kern w:val="0"/>
          <w:sz w:val="32"/>
          <w:szCs w:val="32"/>
          <w:shd w:val="clear" w:color="auto" w:fill="FFFFFF"/>
        </w:rPr>
        <w:t>饶阳县王同岳乡人民政府单位构成</w:t>
      </w:r>
    </w:p>
    <w:p>
      <w:pPr>
        <w:widowControl/>
        <w:shd w:val="clear" w:color="auto" w:fill="FFFFFF"/>
        <w:spacing w:line="600" w:lineRule="exact"/>
        <w:ind w:firstLine="560"/>
        <w:rPr>
          <w:rFonts w:ascii="仿宋" w:hAnsi="仿宋" w:eastAsia="仿宋" w:cs="仿宋_GB2312"/>
          <w:color w:val="000000"/>
          <w:kern w:val="0"/>
          <w:sz w:val="32"/>
          <w:szCs w:val="32"/>
          <w:shd w:val="clear" w:color="auto" w:fill="FFFFFF"/>
        </w:rPr>
      </w:pPr>
      <w:r>
        <w:rPr>
          <w:rFonts w:hint="eastAsia" w:ascii="仿宋" w:hAnsi="仿宋" w:eastAsia="仿宋" w:cs="仿宋_GB2312"/>
          <w:color w:val="000000"/>
          <w:kern w:val="0"/>
          <w:sz w:val="32"/>
          <w:szCs w:val="32"/>
          <w:shd w:val="clear" w:color="auto" w:fill="FFFFFF"/>
        </w:rPr>
        <w:t>纳入2017年</w:t>
      </w:r>
      <w:r>
        <w:rPr>
          <w:rFonts w:ascii="仿宋" w:hAnsi="仿宋" w:eastAsia="仿宋" w:cs="仿宋_GB2312"/>
          <w:color w:val="000000"/>
          <w:kern w:val="0"/>
          <w:sz w:val="32"/>
          <w:szCs w:val="32"/>
          <w:shd w:val="clear" w:color="auto" w:fill="FFFFFF"/>
        </w:rPr>
        <w:t>饶阳县</w:t>
      </w:r>
      <w:r>
        <w:rPr>
          <w:rFonts w:hint="eastAsia" w:ascii="仿宋" w:hAnsi="仿宋" w:eastAsia="仿宋" w:cs="仿宋_GB2312"/>
          <w:color w:val="000000"/>
          <w:kern w:val="0"/>
          <w:sz w:val="32"/>
          <w:szCs w:val="32"/>
          <w:shd w:val="clear" w:color="auto" w:fill="FFFFFF"/>
        </w:rPr>
        <w:t>王同岳乡</w:t>
      </w:r>
      <w:r>
        <w:rPr>
          <w:rFonts w:ascii="仿宋" w:hAnsi="仿宋" w:eastAsia="仿宋" w:cs="仿宋_GB2312"/>
          <w:color w:val="000000"/>
          <w:kern w:val="0"/>
          <w:sz w:val="32"/>
          <w:szCs w:val="32"/>
          <w:shd w:val="clear" w:color="auto" w:fill="FFFFFF"/>
        </w:rPr>
        <w:t>政府</w:t>
      </w:r>
      <w:r>
        <w:rPr>
          <w:rFonts w:hint="eastAsia" w:ascii="仿宋" w:hAnsi="仿宋" w:eastAsia="仿宋" w:cs="仿宋_GB2312"/>
          <w:color w:val="000000"/>
          <w:kern w:val="0"/>
          <w:sz w:val="32"/>
          <w:szCs w:val="32"/>
          <w:shd w:val="clear" w:color="auto" w:fill="FFFFFF"/>
        </w:rPr>
        <w:t>部门决算的内设机构共11个</w:t>
      </w:r>
      <w:r>
        <w:rPr>
          <w:rFonts w:ascii="仿宋" w:hAnsi="仿宋" w:eastAsia="仿宋" w:cs="仿宋_GB2312"/>
          <w:color w:val="000000"/>
          <w:kern w:val="0"/>
          <w:sz w:val="32"/>
          <w:szCs w:val="32"/>
          <w:shd w:val="clear" w:color="auto" w:fill="FFFFFF"/>
        </w:rPr>
        <w:t>，</w:t>
      </w:r>
      <w:r>
        <w:rPr>
          <w:rFonts w:hint="eastAsia" w:ascii="仿宋" w:hAnsi="仿宋" w:eastAsia="仿宋" w:cs="仿宋_GB2312"/>
          <w:color w:val="000000"/>
          <w:kern w:val="0"/>
          <w:sz w:val="32"/>
          <w:szCs w:val="32"/>
          <w:shd w:val="clear" w:color="auto" w:fill="FFFFFF"/>
        </w:rPr>
        <w:t>分别</w:t>
      </w:r>
      <w:r>
        <w:rPr>
          <w:rFonts w:hint="eastAsia" w:ascii="仿宋" w:hAnsi="仿宋" w:eastAsia="仿宋" w:cs="仿宋"/>
          <w:sz w:val="32"/>
          <w:szCs w:val="32"/>
        </w:rPr>
        <w:t>由人大、政府、党委、群团、司法、财政、民政、计生、农业、林业、水利构成</w:t>
      </w:r>
      <w:r>
        <w:rPr>
          <w:rFonts w:hint="eastAsia" w:ascii="仿宋" w:hAnsi="仿宋" w:eastAsia="仿宋" w:cs="仿宋_GB2312"/>
          <w:color w:val="000000"/>
          <w:kern w:val="0"/>
          <w:sz w:val="32"/>
          <w:szCs w:val="32"/>
          <w:shd w:val="clear" w:color="auto" w:fill="FFFFFF"/>
        </w:rPr>
        <w:t>。</w:t>
      </w:r>
    </w:p>
    <w:p>
      <w:pPr>
        <w:widowControl/>
        <w:shd w:val="clear" w:color="auto" w:fill="FFFFFF"/>
        <w:spacing w:line="600" w:lineRule="exact"/>
        <w:ind w:firstLine="560"/>
        <w:rPr>
          <w:rFonts w:ascii="仿宋" w:hAnsi="仿宋" w:eastAsia="仿宋" w:cs="仿宋_GB2312"/>
          <w:color w:val="000000"/>
          <w:kern w:val="0"/>
          <w:sz w:val="32"/>
          <w:szCs w:val="32"/>
          <w:shd w:val="clear" w:color="auto" w:fill="FFFFFF"/>
        </w:rPr>
      </w:pPr>
      <w:r>
        <w:rPr>
          <w:rFonts w:hint="eastAsia" w:ascii="仿宋" w:hAnsi="仿宋" w:eastAsia="仿宋" w:cs="仿宋_GB2312"/>
          <w:color w:val="000000"/>
          <w:kern w:val="0"/>
          <w:sz w:val="32"/>
          <w:szCs w:val="32"/>
          <w:shd w:val="clear" w:color="auto" w:fill="FFFFFF"/>
        </w:rPr>
        <w:t>人员情况：2017年初在职85人，退休36人。年末在职人员82人，（其中调出6人，调入3人）退休36人（2017年10月份转入饶阳县养老保险所）。</w:t>
      </w:r>
    </w:p>
    <w:p>
      <w:pPr>
        <w:adjustRightInd w:val="0"/>
        <w:snapToGrid w:val="0"/>
        <w:spacing w:line="600" w:lineRule="atLeast"/>
        <w:ind w:firstLine="964" w:firstLineChars="300"/>
        <w:rPr>
          <w:rFonts w:ascii="仿宋" w:hAnsi="仿宋" w:eastAsia="仿宋" w:cs="仿宋"/>
          <w:b/>
          <w:bCs/>
          <w:sz w:val="32"/>
          <w:szCs w:val="32"/>
        </w:rPr>
      </w:pPr>
      <w:r>
        <w:rPr>
          <w:rFonts w:hint="eastAsia" w:ascii="仿宋" w:hAnsi="仿宋" w:eastAsia="仿宋" w:cs="仿宋"/>
          <w:b/>
          <w:bCs/>
          <w:sz w:val="32"/>
          <w:szCs w:val="32"/>
        </w:rPr>
        <w:t>第二部分   同岳乡部门2017年度部门决算报表</w:t>
      </w:r>
    </w:p>
    <w:p>
      <w:pPr>
        <w:numPr>
          <w:ilvl w:val="0"/>
          <w:numId w:val="1"/>
        </w:numPr>
        <w:adjustRightInd w:val="0"/>
        <w:snapToGrid w:val="0"/>
        <w:spacing w:line="600" w:lineRule="atLeast"/>
        <w:ind w:firstLine="627" w:firstLineChars="196"/>
        <w:rPr>
          <w:rFonts w:ascii="仿宋" w:hAnsi="仿宋" w:eastAsia="仿宋" w:cs="仿宋"/>
          <w:sz w:val="32"/>
          <w:szCs w:val="32"/>
        </w:rPr>
      </w:pPr>
      <w:r>
        <w:rPr>
          <w:rFonts w:hint="eastAsia" w:ascii="仿宋" w:hAnsi="仿宋" w:eastAsia="仿宋" w:cs="仿宋"/>
          <w:sz w:val="32"/>
          <w:szCs w:val="32"/>
        </w:rPr>
        <w:t>收入支出决算总表</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二、收入决算表</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三、支出决算表</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四、财政拨款收入支出决算总表</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五、一般公共预算财政拨款支出决算表</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六、一般公共预算财政拨款基本支出决算表</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七、政府性基金预算财政拨款收入支出决算表</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八、国有资本经营预算财政拨款收入支出决算表（此表无内容）</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九、“三公” 经费等相关信息统计表</w:t>
      </w:r>
    </w:p>
    <w:p>
      <w:pPr>
        <w:numPr>
          <w:ilvl w:val="0"/>
          <w:numId w:val="2"/>
        </w:num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政府采购情况表</w:t>
      </w:r>
    </w:p>
    <w:p>
      <w:pPr>
        <w:adjustRightInd w:val="0"/>
        <w:snapToGrid w:val="0"/>
        <w:spacing w:line="600" w:lineRule="atLeast"/>
        <w:ind w:left="640"/>
        <w:rPr>
          <w:rFonts w:ascii="仿宋" w:hAnsi="仿宋" w:eastAsia="仿宋" w:cs="仿宋"/>
          <w:sz w:val="32"/>
          <w:szCs w:val="32"/>
        </w:rPr>
      </w:pPr>
      <w:r>
        <w:rPr>
          <w:rFonts w:hint="eastAsia" w:ascii="仿宋" w:hAnsi="仿宋" w:eastAsia="仿宋" w:cs="仿宋"/>
          <w:sz w:val="32"/>
          <w:szCs w:val="32"/>
        </w:rPr>
        <w:t>（另附详表单独列示）</w:t>
      </w:r>
    </w:p>
    <w:p>
      <w:pPr>
        <w:adjustRightInd w:val="0"/>
        <w:snapToGrid w:val="0"/>
        <w:spacing w:line="600" w:lineRule="atLeast"/>
        <w:ind w:firstLine="643" w:firstLineChars="200"/>
        <w:rPr>
          <w:rFonts w:ascii="仿宋" w:hAnsi="仿宋" w:eastAsia="仿宋" w:cs="仿宋"/>
          <w:b/>
          <w:bCs/>
          <w:sz w:val="32"/>
          <w:szCs w:val="32"/>
        </w:rPr>
      </w:pPr>
      <w:r>
        <w:rPr>
          <w:rFonts w:hint="eastAsia" w:ascii="仿宋" w:hAnsi="仿宋" w:eastAsia="仿宋" w:cs="仿宋"/>
          <w:b/>
          <w:bCs/>
          <w:sz w:val="32"/>
          <w:szCs w:val="32"/>
        </w:rPr>
        <w:t>第三部分  同岳乡部门2017年部门决算情况说明</w:t>
      </w:r>
    </w:p>
    <w:p>
      <w:pPr>
        <w:adjustRightInd w:val="0"/>
        <w:snapToGrid w:val="0"/>
        <w:spacing w:line="600" w:lineRule="atLeast"/>
        <w:ind w:firstLine="643" w:firstLineChars="200"/>
        <w:rPr>
          <w:rFonts w:ascii="仿宋" w:hAnsi="仿宋" w:eastAsia="仿宋" w:cs="仿宋"/>
          <w:b/>
          <w:bCs/>
          <w:sz w:val="32"/>
          <w:szCs w:val="32"/>
        </w:rPr>
      </w:pPr>
      <w:r>
        <w:rPr>
          <w:rFonts w:hint="eastAsia" w:ascii="仿宋" w:hAnsi="仿宋" w:eastAsia="仿宋" w:cs="仿宋"/>
          <w:b/>
          <w:bCs/>
          <w:sz w:val="32"/>
          <w:szCs w:val="32"/>
        </w:rPr>
        <w:t>一、收入支出决算总体情况说明</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2017年收入总计2558.48万元，2016年末收入决算3829.83万元，较2016年决算减少1271.35万元，减少33.2%，2017年年初预算858.87万元，较2017年预算增加1699.61万元，增加197%。因项目资金大气防治污染、空气监测站共计43万元、污水处理厂120万元、秸秆禁烧、环境整治、农村环卫市场运营共计192.34万元、通道绿化78.96万元、政府性基金支出1322万元等支出减少。与年初预算对比增加197%，与上年决算对比减少-33.2%.</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2017年支出总计2770.65万元，2016年年末支出决算3983.45万元，较2016年决算减少1212.8万元，减少30%，2017年年初预算858.87万元，较2017年预算增加1911.78万元，增加222%。因项目资金大气防治污染、空气监测站共计43万元、污水处理厂120万元、秸秆禁烧、环境整治、农村环卫市场运营共计192.34万元、通道绿化78.96万元、政府性基金支出1322万元等支出减少。与年初预算对比增加222%，与上年决算对比减少30%.</w:t>
      </w:r>
    </w:p>
    <w:p>
      <w:pPr>
        <w:adjustRightInd w:val="0"/>
        <w:snapToGrid w:val="0"/>
        <w:spacing w:line="600" w:lineRule="atLeast"/>
        <w:ind w:firstLine="960" w:firstLineChars="300"/>
        <w:rPr>
          <w:rFonts w:hAnsi="宋体" w:eastAsia="仿宋_GB2312" w:cs="宋体"/>
          <w:kern w:val="0"/>
          <w:sz w:val="32"/>
          <w:szCs w:val="32"/>
        </w:rPr>
      </w:pPr>
      <w:r>
        <w:rPr>
          <w:rFonts w:hint="eastAsia" w:ascii="仿宋" w:hAnsi="仿宋" w:eastAsia="仿宋" w:cs="仿宋"/>
          <w:sz w:val="32"/>
          <w:szCs w:val="32"/>
        </w:rPr>
        <w:t>2016年年初结转结余214.55万元，2017年本年年末结转结余2.39万元.与上年同期结转结余对比减少98%.</w:t>
      </w:r>
    </w:p>
    <w:p>
      <w:pPr>
        <w:numPr>
          <w:ilvl w:val="0"/>
          <w:numId w:val="1"/>
        </w:numPr>
        <w:adjustRightInd w:val="0"/>
        <w:snapToGrid w:val="0"/>
        <w:spacing w:line="600" w:lineRule="atLeast"/>
        <w:ind w:firstLine="630" w:firstLineChars="196"/>
        <w:rPr>
          <w:rFonts w:ascii="仿宋" w:hAnsi="仿宋" w:eastAsia="仿宋" w:cs="仿宋"/>
          <w:b/>
          <w:bCs/>
          <w:sz w:val="32"/>
          <w:szCs w:val="32"/>
        </w:rPr>
      </w:pPr>
      <w:r>
        <w:rPr>
          <w:rFonts w:hint="eastAsia" w:ascii="仿宋" w:hAnsi="仿宋" w:eastAsia="仿宋" w:cs="仿宋"/>
          <w:b/>
          <w:bCs/>
          <w:sz w:val="32"/>
          <w:szCs w:val="32"/>
        </w:rPr>
        <w:t>收入决算情况说明</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2017年财政拨款收入2554.48万元，其中：一般公共预算财政拨款1334.8万元、政府性基金收入1223.67万元。2016年财政拨款收入3829.83万元，2017年较2016年决算减少1271.35万元，减少33.2%。主要原因是：今年人员工资增长，退休人员转入养老保险所，土地开发支出占地补偿、城市建设支出马屯管网、补助被征地农民支出失地补助等项目减少。</w:t>
      </w:r>
    </w:p>
    <w:p>
      <w:pPr>
        <w:widowControl/>
        <w:shd w:val="clear" w:color="auto" w:fill="FFFFFF"/>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三、支出决算情况说明</w:t>
      </w:r>
    </w:p>
    <w:p>
      <w:pPr>
        <w:adjustRightInd w:val="0"/>
        <w:snapToGrid w:val="0"/>
        <w:spacing w:line="600" w:lineRule="atLeast"/>
        <w:ind w:firstLine="566" w:firstLineChars="177"/>
        <w:rPr>
          <w:rFonts w:ascii="仿宋" w:hAnsi="仿宋" w:eastAsia="仿宋" w:cs="仿宋"/>
          <w:sz w:val="32"/>
          <w:szCs w:val="32"/>
        </w:rPr>
      </w:pPr>
      <w:r>
        <w:rPr>
          <w:rFonts w:hint="eastAsia" w:ascii="仿宋" w:hAnsi="仿宋" w:eastAsia="仿宋" w:cs="仿宋"/>
          <w:sz w:val="32"/>
          <w:szCs w:val="32"/>
        </w:rPr>
        <w:t>2017年支出总计2770.65万元，其中：基本支出678.24万元，项目支出2092.41万元。支出较2016年决算支出减少1212.8万元，下降30%，具体情况如下:</w:t>
      </w:r>
    </w:p>
    <w:p>
      <w:pPr>
        <w:adjustRightInd w:val="0"/>
        <w:snapToGrid w:val="0"/>
        <w:spacing w:line="600" w:lineRule="atLeast"/>
        <w:ind w:firstLine="566" w:firstLineChars="177"/>
        <w:rPr>
          <w:rFonts w:ascii="仿宋" w:hAnsi="仿宋" w:eastAsia="仿宋" w:cs="仿宋"/>
          <w:sz w:val="32"/>
          <w:szCs w:val="32"/>
        </w:rPr>
      </w:pPr>
      <w:r>
        <w:rPr>
          <w:rFonts w:hint="eastAsia" w:ascii="仿宋" w:hAnsi="仿宋" w:eastAsia="仿宋" w:cs="仿宋"/>
          <w:sz w:val="32"/>
          <w:szCs w:val="32"/>
        </w:rPr>
        <w:t>其中：一般公共服务支出529.2万元，主要用于部门人员工资、日常运转及开展宣传文化活动等业务支出。</w:t>
      </w:r>
    </w:p>
    <w:p>
      <w:pPr>
        <w:adjustRightInd w:val="0"/>
        <w:snapToGrid w:val="0"/>
        <w:spacing w:line="600" w:lineRule="atLeast"/>
        <w:ind w:firstLine="566" w:firstLineChars="177"/>
        <w:rPr>
          <w:rFonts w:ascii="仿宋" w:hAnsi="仿宋" w:eastAsia="仿宋" w:cs="仿宋"/>
          <w:sz w:val="32"/>
          <w:szCs w:val="32"/>
        </w:rPr>
      </w:pPr>
      <w:r>
        <w:rPr>
          <w:rFonts w:hint="eastAsia" w:ascii="仿宋" w:hAnsi="仿宋" w:eastAsia="仿宋" w:cs="仿宋"/>
          <w:sz w:val="32"/>
          <w:szCs w:val="32"/>
        </w:rPr>
        <w:t>公共安全支出12.46万元，主要用于部门人员工资、日常运转等业务支出。</w:t>
      </w:r>
    </w:p>
    <w:p>
      <w:pPr>
        <w:adjustRightInd w:val="0"/>
        <w:snapToGrid w:val="0"/>
        <w:spacing w:line="600" w:lineRule="atLeast"/>
        <w:ind w:firstLine="566" w:firstLineChars="177"/>
        <w:rPr>
          <w:rFonts w:ascii="仿宋" w:hAnsi="仿宋" w:eastAsia="仿宋" w:cs="仿宋"/>
          <w:sz w:val="32"/>
          <w:szCs w:val="32"/>
        </w:rPr>
      </w:pPr>
      <w:r>
        <w:rPr>
          <w:rFonts w:hint="eastAsia" w:ascii="仿宋" w:hAnsi="仿宋" w:eastAsia="仿宋" w:cs="仿宋"/>
          <w:sz w:val="32"/>
          <w:szCs w:val="32"/>
        </w:rPr>
        <w:t>社会保障和就业支出146.56万元，主要用于部门人员工资、日常运转及部门离退休人员工资及管理方面的支出。</w:t>
      </w:r>
    </w:p>
    <w:p>
      <w:pPr>
        <w:adjustRightInd w:val="0"/>
        <w:snapToGrid w:val="0"/>
        <w:spacing w:line="600" w:lineRule="atLeast"/>
        <w:ind w:firstLine="566" w:firstLineChars="177"/>
        <w:rPr>
          <w:rFonts w:ascii="仿宋" w:hAnsi="仿宋" w:eastAsia="仿宋" w:cs="仿宋"/>
          <w:sz w:val="32"/>
          <w:szCs w:val="32"/>
        </w:rPr>
      </w:pPr>
      <w:r>
        <w:rPr>
          <w:rFonts w:hint="eastAsia" w:ascii="仿宋" w:hAnsi="仿宋" w:eastAsia="仿宋" w:cs="仿宋"/>
          <w:sz w:val="32"/>
          <w:szCs w:val="32"/>
        </w:rPr>
        <w:t>医疗卫生和计划生育支出67.4万元，主要用于部门人员工资、日常运转等业务支出。</w:t>
      </w:r>
    </w:p>
    <w:p>
      <w:pPr>
        <w:adjustRightInd w:val="0"/>
        <w:snapToGrid w:val="0"/>
        <w:spacing w:line="600" w:lineRule="atLeast"/>
        <w:ind w:firstLine="566" w:firstLineChars="177"/>
        <w:rPr>
          <w:rFonts w:ascii="仿宋" w:hAnsi="仿宋" w:eastAsia="仿宋" w:cs="仿宋"/>
          <w:sz w:val="32"/>
          <w:szCs w:val="32"/>
        </w:rPr>
      </w:pPr>
      <w:r>
        <w:rPr>
          <w:rFonts w:hint="eastAsia" w:ascii="仿宋" w:hAnsi="仿宋" w:eastAsia="仿宋" w:cs="仿宋"/>
          <w:sz w:val="32"/>
          <w:szCs w:val="32"/>
        </w:rPr>
        <w:t>节能环保支出355.34万元，主要用于环境卫生整治、秸秆禁烧等项目支出。</w:t>
      </w:r>
    </w:p>
    <w:p>
      <w:pPr>
        <w:adjustRightInd w:val="0"/>
        <w:snapToGrid w:val="0"/>
        <w:spacing w:line="600" w:lineRule="atLeast"/>
        <w:ind w:firstLine="566" w:firstLineChars="177"/>
        <w:rPr>
          <w:rFonts w:ascii="仿宋" w:hAnsi="仿宋" w:eastAsia="仿宋" w:cs="仿宋"/>
          <w:sz w:val="32"/>
          <w:szCs w:val="32"/>
        </w:rPr>
      </w:pPr>
      <w:r>
        <w:rPr>
          <w:rFonts w:hint="eastAsia" w:ascii="仿宋" w:hAnsi="仿宋" w:eastAsia="仿宋" w:cs="仿宋"/>
          <w:sz w:val="32"/>
          <w:szCs w:val="32"/>
        </w:rPr>
        <w:t>城乡社区支出1318.48万元，主要用于企业占地补偿。</w:t>
      </w:r>
    </w:p>
    <w:p>
      <w:pPr>
        <w:adjustRightInd w:val="0"/>
        <w:snapToGrid w:val="0"/>
        <w:spacing w:line="600" w:lineRule="atLeast"/>
        <w:ind w:firstLine="566" w:firstLineChars="177"/>
        <w:rPr>
          <w:rFonts w:ascii="仿宋" w:hAnsi="仿宋" w:eastAsia="仿宋" w:cs="仿宋"/>
          <w:sz w:val="32"/>
          <w:szCs w:val="32"/>
        </w:rPr>
      </w:pPr>
      <w:r>
        <w:rPr>
          <w:rFonts w:hint="eastAsia" w:ascii="仿宋" w:hAnsi="仿宋" w:eastAsia="仿宋" w:cs="仿宋"/>
          <w:sz w:val="32"/>
          <w:szCs w:val="32"/>
        </w:rPr>
        <w:t>农林水支出337.21万元，主要用于部门人员工资、日常运转基本支出，转移支付、通道绿化等项目支出。</w:t>
      </w:r>
    </w:p>
    <w:p>
      <w:pPr>
        <w:adjustRightInd w:val="0"/>
        <w:snapToGrid w:val="0"/>
        <w:spacing w:line="600" w:lineRule="atLeast"/>
        <w:ind w:firstLine="566" w:firstLineChars="177"/>
        <w:rPr>
          <w:rFonts w:ascii="仿宋" w:hAnsi="仿宋" w:eastAsia="仿宋" w:cs="仿宋"/>
          <w:sz w:val="32"/>
          <w:szCs w:val="32"/>
        </w:rPr>
      </w:pPr>
      <w:r>
        <w:rPr>
          <w:rFonts w:hint="eastAsia" w:ascii="仿宋" w:hAnsi="仿宋" w:eastAsia="仿宋" w:cs="仿宋"/>
          <w:sz w:val="32"/>
          <w:szCs w:val="32"/>
        </w:rPr>
        <w:t>彩票公益金及对应专项债务收入安排的支出4万元。主要用于村级公共场所体育器材。</w:t>
      </w:r>
    </w:p>
    <w:p>
      <w:pPr>
        <w:adjustRightInd w:val="0"/>
        <w:snapToGrid w:val="0"/>
        <w:spacing w:line="600" w:lineRule="atLeast"/>
        <w:ind w:firstLine="643" w:firstLineChars="200"/>
        <w:rPr>
          <w:rFonts w:ascii="仿宋" w:hAnsi="仿宋" w:eastAsia="仿宋" w:cs="仿宋"/>
          <w:b/>
          <w:bCs/>
          <w:sz w:val="32"/>
          <w:szCs w:val="32"/>
        </w:rPr>
      </w:pPr>
      <w:r>
        <w:rPr>
          <w:rFonts w:hint="eastAsia" w:ascii="仿宋" w:hAnsi="仿宋" w:eastAsia="仿宋" w:cs="仿宋"/>
          <w:b/>
          <w:bCs/>
          <w:sz w:val="32"/>
          <w:szCs w:val="32"/>
        </w:rPr>
        <w:t>四、财政拨款收入支出决算总体情况说明</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2017年财政拨款收入总计2773.03万元，其中：本年一般公共预算财政拨款1334.8万元，政府性基金拨款1223.67万元，年初财政拨款结转和结余214.56万元。</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2017年年初预算858.87万元，较年初预算数增加1914.16万元，增加222%。主要原因：一般公共预算财政拨款基本项目税收奖励、田园综合体、退役军人落实政策、空气质量奖励金、大广高速绿化，美丽乡村、环境生态保护等项目。政府性基金项目占地补偿、残次林占地补偿、绿化基础设施建设、早市工程、彩票公益金等项目年度预算执行过程中追加了预算；</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2016年收入决算3829.83万元，较2016年收入决算减少1056.8万元，减少27%。主要原因：今年人员工资增长，退休人员转入养老保险所，节能环保农村环境卫生整治、城乡社区土地开发支出占地补偿、城市建设支出马屯管网、补助被征地农民支出失地补助等项目减少。</w:t>
      </w:r>
    </w:p>
    <w:p>
      <w:pPr>
        <w:adjustRightInd w:val="0"/>
        <w:snapToGrid w:val="0"/>
        <w:spacing w:line="600" w:lineRule="atLeast"/>
        <w:ind w:firstLine="707" w:firstLineChars="221"/>
        <w:rPr>
          <w:rFonts w:ascii="仿宋" w:hAnsi="仿宋" w:eastAsia="仿宋" w:cs="仿宋"/>
          <w:sz w:val="32"/>
          <w:szCs w:val="32"/>
        </w:rPr>
      </w:pPr>
      <w:r>
        <w:rPr>
          <w:rFonts w:hint="eastAsia" w:ascii="仿宋" w:hAnsi="仿宋" w:eastAsia="仿宋" w:cs="仿宋"/>
          <w:sz w:val="32"/>
          <w:szCs w:val="32"/>
        </w:rPr>
        <w:t>2017年财政拨款支出2770.65万元，其中一般公共财政预算拨款1452.17万元，政府性基金1318.48万元。</w:t>
      </w:r>
    </w:p>
    <w:p>
      <w:pPr>
        <w:adjustRightInd w:val="0"/>
        <w:snapToGrid w:val="0"/>
        <w:spacing w:line="600" w:lineRule="atLeast"/>
        <w:ind w:firstLine="707" w:firstLineChars="221"/>
        <w:rPr>
          <w:rFonts w:ascii="仿宋" w:hAnsi="仿宋" w:eastAsia="仿宋" w:cs="仿宋"/>
          <w:sz w:val="32"/>
          <w:szCs w:val="32"/>
        </w:rPr>
      </w:pPr>
      <w:r>
        <w:rPr>
          <w:rFonts w:hint="eastAsia" w:ascii="仿宋" w:hAnsi="仿宋" w:eastAsia="仿宋" w:cs="仿宋"/>
          <w:sz w:val="32"/>
          <w:szCs w:val="32"/>
        </w:rPr>
        <w:t>2017年年初预算858.87万元，较年初预算数增加1911.78万元，增加222%，一般公共预算财政拨款基本项目税收奖励、田园综合体、退役军人落实政策、空气质量奖励金、大广高速绿化，美丽乡村、环境生态保护等项目。政府性基金项目占地补偿、残次林占地补偿、绿化基础设施建设、早市工程、彩票公益金等项目年度预算执行过程中追加了预算</w:t>
      </w:r>
    </w:p>
    <w:p>
      <w:pPr>
        <w:adjustRightInd w:val="0"/>
        <w:snapToGrid w:val="0"/>
        <w:spacing w:line="600" w:lineRule="atLeast"/>
        <w:ind w:firstLine="707" w:firstLineChars="221"/>
        <w:rPr>
          <w:rFonts w:ascii="仿宋" w:hAnsi="仿宋" w:eastAsia="仿宋" w:cs="仿宋"/>
          <w:color w:val="FF0000"/>
          <w:sz w:val="32"/>
          <w:szCs w:val="32"/>
        </w:rPr>
      </w:pPr>
      <w:r>
        <w:rPr>
          <w:rFonts w:hint="eastAsia" w:ascii="仿宋" w:hAnsi="仿宋" w:eastAsia="仿宋" w:cs="仿宋"/>
          <w:sz w:val="32"/>
          <w:szCs w:val="32"/>
        </w:rPr>
        <w:t>2016年年末支出决算3983.45万元，较2016年决算减少1212.8万元，减少30%主要原因：今年人员工资增长，退休人员转入养老保险所，节能环保农村环境卫生整治、城乡社区土地开发支出占地补偿、城市建设支出马屯管网、补助被征地农民支出失地补助等项目减少。</w:t>
      </w:r>
    </w:p>
    <w:p>
      <w:pPr>
        <w:adjustRightInd w:val="0"/>
        <w:snapToGrid w:val="0"/>
        <w:spacing w:line="600" w:lineRule="atLeast"/>
        <w:ind w:firstLine="643" w:firstLineChars="200"/>
        <w:rPr>
          <w:rFonts w:ascii="仿宋" w:hAnsi="仿宋" w:eastAsia="仿宋" w:cs="仿宋"/>
          <w:b/>
          <w:bCs/>
          <w:sz w:val="32"/>
          <w:szCs w:val="32"/>
        </w:rPr>
      </w:pPr>
      <w:r>
        <w:rPr>
          <w:rFonts w:hint="eastAsia" w:ascii="仿宋" w:hAnsi="仿宋" w:eastAsia="仿宋" w:cs="仿宋"/>
          <w:b/>
          <w:bCs/>
          <w:sz w:val="32"/>
          <w:szCs w:val="32"/>
        </w:rPr>
        <w:t>五、一般公共预算财政拨款支出决算表</w:t>
      </w:r>
    </w:p>
    <w:p>
      <w:pPr>
        <w:adjustRightInd w:val="0"/>
        <w:snapToGrid w:val="0"/>
        <w:spacing w:line="600" w:lineRule="atLeast"/>
        <w:ind w:firstLine="707" w:firstLineChars="221"/>
        <w:rPr>
          <w:rFonts w:ascii="仿宋" w:hAnsi="仿宋" w:eastAsia="仿宋" w:cs="仿宋"/>
          <w:sz w:val="32"/>
          <w:szCs w:val="32"/>
        </w:rPr>
      </w:pPr>
      <w:r>
        <w:rPr>
          <w:rFonts w:hint="eastAsia" w:ascii="仿宋" w:hAnsi="仿宋" w:eastAsia="仿宋" w:cs="仿宋"/>
          <w:sz w:val="32"/>
          <w:szCs w:val="32"/>
        </w:rPr>
        <w:t>一般公共预算财政拨款支出1448.16万元，其中一般公共服务支出529.2万元，公共安全支出12.46万元，社会保障和就业支出146.56万元，医疗卫生与计划生育支出67.4万元，节能环保支出355.34万元，农林水支出337.2万元。与2016年决算数相比减少1299.69万元，减少47%，主要原因是今年人员工资增长，退休人员转入养老保险所及对村级一事一议的补助等项目支出减少。</w:t>
      </w:r>
    </w:p>
    <w:p>
      <w:pPr>
        <w:adjustRightInd w:val="0"/>
        <w:snapToGrid w:val="0"/>
        <w:spacing w:line="600" w:lineRule="atLeast"/>
        <w:ind w:firstLine="643" w:firstLineChars="200"/>
        <w:rPr>
          <w:rFonts w:ascii="仿宋" w:hAnsi="仿宋" w:eastAsia="仿宋" w:cs="仿宋"/>
          <w:b/>
          <w:bCs/>
          <w:sz w:val="32"/>
          <w:szCs w:val="32"/>
        </w:rPr>
      </w:pPr>
      <w:r>
        <w:rPr>
          <w:rFonts w:hint="eastAsia" w:ascii="仿宋" w:hAnsi="仿宋" w:eastAsia="仿宋" w:cs="仿宋"/>
          <w:b/>
          <w:bCs/>
          <w:sz w:val="32"/>
          <w:szCs w:val="32"/>
        </w:rPr>
        <w:t>六、一般公共预算财政拨款基本支出决算表</w:t>
      </w:r>
    </w:p>
    <w:p>
      <w:pPr>
        <w:shd w:val="clear" w:color="auto" w:fill="FFFFFF"/>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般公共预算财政拨款基本支出678.24万元，其中一般公共服务支出461.15万元，公共安全支出12.46万元，社会保障和就业支出140.88万元，医疗卫生与计划生育支出59.35万元，农林水支出4.4万元。与2016年决算数相比减少38.87万元，减少5%。主要原因是农村环境保护，其他文化体育与传媒支出，其他扶贫支出等项目减少。</w:t>
      </w:r>
    </w:p>
    <w:p>
      <w:pPr>
        <w:adjustRightInd w:val="0"/>
        <w:snapToGrid w:val="0"/>
        <w:spacing w:line="600" w:lineRule="atLeast"/>
        <w:ind w:firstLine="643" w:firstLineChars="200"/>
        <w:rPr>
          <w:rFonts w:ascii="仿宋" w:hAnsi="仿宋" w:eastAsia="仿宋" w:cs="仿宋"/>
          <w:sz w:val="32"/>
          <w:szCs w:val="32"/>
        </w:rPr>
      </w:pPr>
      <w:r>
        <w:rPr>
          <w:rFonts w:hint="eastAsia" w:ascii="仿宋" w:hAnsi="仿宋" w:eastAsia="仿宋" w:cs="仿宋"/>
          <w:b/>
          <w:bCs/>
          <w:sz w:val="32"/>
          <w:szCs w:val="32"/>
        </w:rPr>
        <w:t>七、政府性基金预算财政拨款收入支出决算表</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政府性基金预算财政拨款收入1322.48万元，其中年初结转结余98.8万元，本年收入1223.68万元。与2016年决算数相比减少11.92万元，减少0.8%，主要原因是：土地开发支出、城市建设支出等项目减少。</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政府性基金预算财政拨款支出1322.48万元，其中城乡社区支出1318.48万元，其他支出4万元。与2016年决算数相比增加86.88万元，增加8%，主要原因是：征地和拆迁补偿马屯企业占地补偿、兴盛路占地补偿等项目增加。</w:t>
      </w:r>
    </w:p>
    <w:p>
      <w:pPr>
        <w:adjustRightInd w:val="0"/>
        <w:snapToGrid w:val="0"/>
        <w:spacing w:line="600" w:lineRule="atLeast"/>
        <w:ind w:firstLine="643" w:firstLineChars="200"/>
        <w:rPr>
          <w:rFonts w:ascii="仿宋" w:hAnsi="仿宋" w:eastAsia="仿宋" w:cs="仿宋"/>
          <w:b/>
          <w:bCs/>
          <w:sz w:val="32"/>
          <w:szCs w:val="32"/>
        </w:rPr>
      </w:pPr>
      <w:r>
        <w:rPr>
          <w:rFonts w:hint="eastAsia" w:ascii="仿宋" w:hAnsi="仿宋" w:eastAsia="仿宋" w:cs="仿宋"/>
          <w:b/>
          <w:bCs/>
          <w:sz w:val="32"/>
          <w:szCs w:val="32"/>
        </w:rPr>
        <w:t>八、“三公”经费支出决算情况说明</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2017年度 “三公”经费支出总额 </w:t>
      </w:r>
      <w:r>
        <w:rPr>
          <w:rFonts w:hint="eastAsia" w:ascii="仿宋" w:hAnsi="仿宋" w:eastAsia="仿宋" w:cs="仿宋"/>
          <w:sz w:val="32"/>
          <w:szCs w:val="32"/>
          <w:lang w:val="en-US" w:eastAsia="zh-CN"/>
        </w:rPr>
        <w:t>3.21</w:t>
      </w:r>
      <w:r>
        <w:rPr>
          <w:rFonts w:hint="eastAsia" w:ascii="仿宋" w:hAnsi="仿宋" w:eastAsia="仿宋" w:cs="仿宋"/>
          <w:sz w:val="32"/>
          <w:szCs w:val="32"/>
        </w:rPr>
        <w:t xml:space="preserve">万元，与2017年预算相比减少 </w:t>
      </w:r>
      <w:r>
        <w:rPr>
          <w:rFonts w:hint="eastAsia" w:ascii="仿宋" w:hAnsi="仿宋" w:eastAsia="仿宋" w:cs="仿宋"/>
          <w:sz w:val="32"/>
          <w:szCs w:val="32"/>
          <w:lang w:val="en-US" w:eastAsia="zh-CN"/>
        </w:rPr>
        <w:t>3.28</w:t>
      </w:r>
      <w:r>
        <w:rPr>
          <w:rFonts w:hint="eastAsia" w:ascii="仿宋" w:hAnsi="仿宋" w:eastAsia="仿宋" w:cs="仿宋"/>
          <w:sz w:val="32"/>
          <w:szCs w:val="32"/>
        </w:rPr>
        <w:t xml:space="preserve">万元，下降 </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 %；与2016年决算相比减少 </w:t>
      </w:r>
      <w:r>
        <w:rPr>
          <w:rFonts w:hint="eastAsia" w:ascii="仿宋" w:hAnsi="仿宋" w:eastAsia="仿宋" w:cs="仿宋"/>
          <w:sz w:val="32"/>
          <w:szCs w:val="32"/>
          <w:lang w:val="en-US" w:eastAsia="zh-CN"/>
        </w:rPr>
        <w:t>0.2</w:t>
      </w:r>
      <w:r>
        <w:rPr>
          <w:rFonts w:hint="eastAsia" w:ascii="仿宋" w:hAnsi="仿宋" w:eastAsia="仿宋" w:cs="仿宋"/>
          <w:sz w:val="32"/>
          <w:szCs w:val="32"/>
        </w:rPr>
        <w:t xml:space="preserve">  万元，下降</w:t>
      </w: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 %。下降的主要原因为是</w:t>
      </w:r>
      <w:r>
        <w:rPr>
          <w:rFonts w:hint="eastAsia" w:ascii="仿宋" w:hAnsi="仿宋" w:eastAsia="仿宋"/>
          <w:color w:val="000000"/>
          <w:sz w:val="32"/>
          <w:szCs w:val="32"/>
          <w:shd w:val="clear" w:color="auto" w:fill="FFFFFF"/>
        </w:rPr>
        <w:t>认真贯彻落实“中央八项规定”及省、市、县相关规定，精简节约，严格控制“三公”经费支出</w:t>
      </w:r>
      <w:r>
        <w:rPr>
          <w:rFonts w:hint="eastAsia" w:ascii="仿宋" w:hAnsi="仿宋" w:eastAsia="仿宋" w:cs="仿宋"/>
          <w:sz w:val="32"/>
          <w:szCs w:val="32"/>
        </w:rPr>
        <w:t>。具体情况为：</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1、因公出国（境）费支出 </w:t>
      </w:r>
      <w:r>
        <w:rPr>
          <w:rFonts w:hint="eastAsia" w:ascii="仿宋" w:hAnsi="仿宋" w:eastAsia="仿宋" w:cs="仿宋"/>
          <w:sz w:val="32"/>
          <w:szCs w:val="32"/>
          <w:lang w:val="en-US" w:eastAsia="zh-CN"/>
        </w:rPr>
        <w:t>0</w:t>
      </w:r>
      <w:r>
        <w:rPr>
          <w:rFonts w:hint="eastAsia" w:ascii="仿宋" w:hAnsi="仿宋" w:eastAsia="仿宋" w:cs="仿宋"/>
          <w:sz w:val="32"/>
          <w:szCs w:val="32"/>
        </w:rPr>
        <w:t>万元，因公出国（境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人，支出数与2017年预算相比减少 </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万元，下降 </w:t>
      </w:r>
      <w:r>
        <w:rPr>
          <w:rFonts w:hint="eastAsia" w:ascii="仿宋" w:hAnsi="仿宋" w:eastAsia="仿宋" w:cs="仿宋"/>
          <w:sz w:val="32"/>
          <w:szCs w:val="32"/>
          <w:lang w:val="en-US" w:eastAsia="zh-CN"/>
        </w:rPr>
        <w:t>0</w:t>
      </w:r>
      <w:r>
        <w:rPr>
          <w:rFonts w:hint="eastAsia" w:ascii="仿宋" w:hAnsi="仿宋" w:eastAsia="仿宋" w:cs="仿宋"/>
          <w:sz w:val="32"/>
          <w:szCs w:val="32"/>
        </w:rPr>
        <w:t>%；与2016年决算相比减少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万元，下降</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2、公务用车购置及运行维护费支出 </w:t>
      </w:r>
      <w:r>
        <w:rPr>
          <w:rFonts w:hint="eastAsia" w:ascii="仿宋" w:hAnsi="仿宋" w:eastAsia="仿宋" w:cs="仿宋"/>
          <w:sz w:val="32"/>
          <w:szCs w:val="32"/>
          <w:lang w:val="en-US" w:eastAsia="zh-CN"/>
        </w:rPr>
        <w:t>2.7</w:t>
      </w:r>
      <w:r>
        <w:rPr>
          <w:rFonts w:hint="eastAsia" w:ascii="仿宋" w:hAnsi="仿宋" w:eastAsia="仿宋" w:cs="仿宋"/>
          <w:sz w:val="32"/>
          <w:szCs w:val="32"/>
        </w:rPr>
        <w:t xml:space="preserve"> 万元，与2017年预算相比减少</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万元，下降</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%；与2016年决算相比减少 </w:t>
      </w:r>
      <w:r>
        <w:rPr>
          <w:rFonts w:hint="eastAsia" w:ascii="仿宋" w:hAnsi="仿宋" w:eastAsia="仿宋" w:cs="仿宋"/>
          <w:sz w:val="32"/>
          <w:szCs w:val="32"/>
          <w:lang w:val="en-US" w:eastAsia="zh-CN"/>
        </w:rPr>
        <w:t>0.15</w:t>
      </w:r>
      <w:r>
        <w:rPr>
          <w:rFonts w:hint="eastAsia" w:ascii="仿宋" w:hAnsi="仿宋" w:eastAsia="仿宋" w:cs="仿宋"/>
          <w:sz w:val="32"/>
          <w:szCs w:val="32"/>
        </w:rPr>
        <w:t xml:space="preserve">  万元，下降</w:t>
      </w: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 %。其中：</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（1）公务用车购置费支出</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万元，公务用车购置数</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辆，支出数与2017年预算相比减少 </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万元，下降</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%；与2016年决算相比减少 </w:t>
      </w:r>
      <w:r>
        <w:rPr>
          <w:rFonts w:hint="eastAsia" w:ascii="仿宋" w:hAnsi="仿宋" w:eastAsia="仿宋" w:cs="仿宋"/>
          <w:sz w:val="32"/>
          <w:szCs w:val="32"/>
          <w:lang w:val="en-US" w:eastAsia="zh-CN"/>
        </w:rPr>
        <w:t>0</w:t>
      </w:r>
      <w:r>
        <w:rPr>
          <w:rFonts w:hint="eastAsia" w:ascii="仿宋" w:hAnsi="仿宋" w:eastAsia="仿宋" w:cs="仿宋"/>
          <w:sz w:val="32"/>
          <w:szCs w:val="32"/>
        </w:rPr>
        <w:t>万元，下降</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（2）公务用车运行维护费支出 </w:t>
      </w:r>
      <w:r>
        <w:rPr>
          <w:rFonts w:hint="eastAsia" w:ascii="仿宋" w:hAnsi="仿宋" w:eastAsia="仿宋" w:cs="仿宋"/>
          <w:sz w:val="32"/>
          <w:szCs w:val="32"/>
          <w:lang w:val="en-US" w:eastAsia="zh-CN"/>
        </w:rPr>
        <w:t>2.7</w:t>
      </w:r>
      <w:r>
        <w:rPr>
          <w:rFonts w:hint="eastAsia" w:ascii="仿宋" w:hAnsi="仿宋" w:eastAsia="仿宋" w:cs="仿宋"/>
          <w:sz w:val="32"/>
          <w:szCs w:val="32"/>
        </w:rPr>
        <w:t xml:space="preserve"> 万元，公务用车保有</w:t>
      </w:r>
      <w:r>
        <w:rPr>
          <w:rFonts w:hint="eastAsia" w:ascii="仿宋" w:hAnsi="仿宋" w:eastAsia="仿宋" w:cs="仿宋"/>
          <w:sz w:val="32"/>
          <w:szCs w:val="32"/>
          <w:lang w:val="en-US" w:eastAsia="zh-CN"/>
        </w:rPr>
        <w:t>1</w:t>
      </w:r>
      <w:r>
        <w:rPr>
          <w:rFonts w:hint="eastAsia" w:ascii="仿宋" w:hAnsi="仿宋" w:eastAsia="仿宋" w:cs="仿宋"/>
          <w:sz w:val="32"/>
          <w:szCs w:val="32"/>
        </w:rPr>
        <w:t>辆，与2017年预算相比减少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万元，下降</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%；与2016年决算相比减少 </w:t>
      </w:r>
      <w:r>
        <w:rPr>
          <w:rFonts w:hint="eastAsia" w:ascii="仿宋" w:hAnsi="仿宋" w:eastAsia="仿宋" w:cs="仿宋"/>
          <w:sz w:val="32"/>
          <w:szCs w:val="32"/>
          <w:lang w:val="en-US" w:eastAsia="zh-CN"/>
        </w:rPr>
        <w:t>0.15</w:t>
      </w:r>
      <w:r>
        <w:rPr>
          <w:rFonts w:hint="eastAsia" w:ascii="仿宋" w:hAnsi="仿宋" w:eastAsia="仿宋" w:cs="仿宋"/>
          <w:sz w:val="32"/>
          <w:szCs w:val="32"/>
        </w:rPr>
        <w:t>万元，下降</w:t>
      </w:r>
      <w:r>
        <w:rPr>
          <w:rFonts w:hint="eastAsia" w:ascii="仿宋" w:hAnsi="仿宋" w:eastAsia="仿宋" w:cs="仿宋"/>
          <w:sz w:val="32"/>
          <w:szCs w:val="32"/>
          <w:lang w:val="en-US" w:eastAsia="zh-CN"/>
        </w:rPr>
        <w:t>5</w:t>
      </w:r>
      <w:r>
        <w:rPr>
          <w:rFonts w:hint="eastAsia" w:ascii="仿宋" w:hAnsi="仿宋" w:eastAsia="仿宋" w:cs="仿宋"/>
          <w:sz w:val="32"/>
          <w:szCs w:val="32"/>
        </w:rPr>
        <w:t>%。</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3、公务接待费支出 </w:t>
      </w:r>
      <w:r>
        <w:rPr>
          <w:rFonts w:hint="eastAsia" w:ascii="仿宋" w:hAnsi="仿宋" w:eastAsia="仿宋" w:cs="仿宋"/>
          <w:sz w:val="32"/>
          <w:szCs w:val="32"/>
          <w:lang w:val="en-US" w:eastAsia="zh-CN"/>
        </w:rPr>
        <w:t>0.51</w:t>
      </w:r>
      <w:r>
        <w:rPr>
          <w:rFonts w:hint="eastAsia" w:ascii="仿宋" w:hAnsi="仿宋" w:eastAsia="仿宋" w:cs="仿宋"/>
          <w:sz w:val="32"/>
          <w:szCs w:val="32"/>
        </w:rPr>
        <w:t xml:space="preserve">万元，与2017年预算相比减少 </w:t>
      </w:r>
      <w:r>
        <w:rPr>
          <w:rFonts w:hint="eastAsia" w:ascii="仿宋" w:hAnsi="仿宋" w:eastAsia="仿宋" w:cs="仿宋"/>
          <w:sz w:val="32"/>
          <w:szCs w:val="32"/>
          <w:lang w:val="en-US" w:eastAsia="zh-CN"/>
        </w:rPr>
        <w:t>0.07</w:t>
      </w:r>
      <w:r>
        <w:rPr>
          <w:rFonts w:hint="eastAsia" w:ascii="仿宋" w:hAnsi="仿宋" w:eastAsia="仿宋" w:cs="仿宋"/>
          <w:sz w:val="32"/>
          <w:szCs w:val="32"/>
        </w:rPr>
        <w:t>万元，下降</w:t>
      </w:r>
      <w:r>
        <w:rPr>
          <w:rFonts w:hint="eastAsia" w:ascii="仿宋" w:hAnsi="仿宋" w:eastAsia="仿宋" w:cs="仿宋"/>
          <w:sz w:val="32"/>
          <w:szCs w:val="32"/>
          <w:lang w:val="en-US" w:eastAsia="zh-CN"/>
        </w:rPr>
        <w:t>12</w:t>
      </w:r>
      <w:r>
        <w:rPr>
          <w:rFonts w:hint="eastAsia" w:ascii="仿宋" w:hAnsi="仿宋" w:eastAsia="仿宋" w:cs="仿宋"/>
          <w:sz w:val="32"/>
          <w:szCs w:val="32"/>
        </w:rPr>
        <w:t>%；与2016年决算相比减少</w:t>
      </w:r>
      <w:r>
        <w:rPr>
          <w:rFonts w:hint="eastAsia" w:ascii="仿宋" w:hAnsi="仿宋" w:eastAsia="仿宋" w:cs="仿宋"/>
          <w:sz w:val="32"/>
          <w:szCs w:val="32"/>
          <w:lang w:val="en-US" w:eastAsia="zh-CN"/>
        </w:rPr>
        <w:t>0.05</w:t>
      </w:r>
      <w:r>
        <w:rPr>
          <w:rFonts w:hint="eastAsia" w:ascii="仿宋" w:hAnsi="仿宋" w:eastAsia="仿宋" w:cs="仿宋"/>
          <w:sz w:val="32"/>
          <w:szCs w:val="32"/>
        </w:rPr>
        <w:t xml:space="preserve">万元，下降 </w:t>
      </w:r>
      <w:r>
        <w:rPr>
          <w:rFonts w:hint="eastAsia" w:ascii="仿宋" w:hAnsi="仿宋" w:eastAsia="仿宋" w:cs="仿宋"/>
          <w:sz w:val="32"/>
          <w:szCs w:val="32"/>
          <w:lang w:val="en-US" w:eastAsia="zh-CN"/>
        </w:rPr>
        <w:t>8</w:t>
      </w:r>
      <w:r>
        <w:rPr>
          <w:rFonts w:hint="eastAsia" w:ascii="仿宋" w:hAnsi="仿宋" w:eastAsia="仿宋" w:cs="仿宋"/>
          <w:sz w:val="32"/>
          <w:szCs w:val="32"/>
        </w:rPr>
        <w:t>%。其中：</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（1）国内接待费支出 </w:t>
      </w:r>
      <w:r>
        <w:rPr>
          <w:rFonts w:hint="eastAsia" w:ascii="仿宋" w:hAnsi="仿宋" w:eastAsia="仿宋" w:cs="仿宋"/>
          <w:sz w:val="32"/>
          <w:szCs w:val="32"/>
          <w:lang w:val="en-US" w:eastAsia="zh-CN"/>
        </w:rPr>
        <w:t>0.51</w:t>
      </w:r>
      <w:r>
        <w:rPr>
          <w:rFonts w:hint="eastAsia" w:ascii="仿宋" w:hAnsi="仿宋" w:eastAsia="仿宋" w:cs="仿宋"/>
          <w:sz w:val="32"/>
          <w:szCs w:val="32"/>
        </w:rPr>
        <w:t xml:space="preserve"> 万元，与2017年预算相比减少 </w:t>
      </w:r>
      <w:r>
        <w:rPr>
          <w:rFonts w:hint="eastAsia" w:ascii="仿宋" w:hAnsi="仿宋" w:eastAsia="仿宋" w:cs="仿宋"/>
          <w:sz w:val="32"/>
          <w:szCs w:val="32"/>
          <w:lang w:val="en-US" w:eastAsia="zh-CN"/>
        </w:rPr>
        <w:t>0.07</w:t>
      </w:r>
      <w:r>
        <w:rPr>
          <w:rFonts w:hint="eastAsia" w:ascii="仿宋" w:hAnsi="仿宋" w:eastAsia="仿宋" w:cs="仿宋"/>
          <w:sz w:val="32"/>
          <w:szCs w:val="32"/>
        </w:rPr>
        <w:t>万元，下降</w:t>
      </w:r>
      <w:r>
        <w:rPr>
          <w:rFonts w:hint="eastAsia" w:ascii="仿宋" w:hAnsi="仿宋" w:eastAsia="仿宋" w:cs="仿宋"/>
          <w:sz w:val="32"/>
          <w:szCs w:val="32"/>
          <w:lang w:val="en-US" w:eastAsia="zh-CN"/>
        </w:rPr>
        <w:t>12</w:t>
      </w:r>
      <w:r>
        <w:rPr>
          <w:rFonts w:hint="eastAsia" w:ascii="仿宋" w:hAnsi="仿宋" w:eastAsia="仿宋" w:cs="仿宋"/>
          <w:sz w:val="32"/>
          <w:szCs w:val="32"/>
        </w:rPr>
        <w:t xml:space="preserve">%；与2016年决算相比减少 </w:t>
      </w:r>
      <w:r>
        <w:rPr>
          <w:rFonts w:hint="eastAsia" w:ascii="仿宋" w:hAnsi="仿宋" w:eastAsia="仿宋" w:cs="仿宋"/>
          <w:sz w:val="32"/>
          <w:szCs w:val="32"/>
          <w:lang w:val="en-US" w:eastAsia="zh-CN"/>
        </w:rPr>
        <w:t>0.05</w:t>
      </w:r>
      <w:r>
        <w:rPr>
          <w:rFonts w:hint="eastAsia" w:ascii="仿宋" w:hAnsi="仿宋" w:eastAsia="仿宋" w:cs="仿宋"/>
          <w:sz w:val="32"/>
          <w:szCs w:val="32"/>
        </w:rPr>
        <w:t xml:space="preserve">万元，下降 </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 %。一是国内公务接待共计 </w:t>
      </w:r>
      <w:r>
        <w:rPr>
          <w:rFonts w:hint="eastAsia" w:ascii="仿宋" w:hAnsi="仿宋" w:eastAsia="仿宋" w:cs="仿宋"/>
          <w:sz w:val="32"/>
          <w:szCs w:val="32"/>
          <w:lang w:val="en-US" w:eastAsia="zh-CN"/>
        </w:rPr>
        <w:t>19</w:t>
      </w:r>
      <w:r>
        <w:rPr>
          <w:rFonts w:hint="eastAsia" w:ascii="仿宋" w:hAnsi="仿宋" w:eastAsia="仿宋" w:cs="仿宋"/>
          <w:sz w:val="32"/>
          <w:szCs w:val="32"/>
        </w:rPr>
        <w:t xml:space="preserve">个批次、接待人次 </w:t>
      </w:r>
      <w:r>
        <w:rPr>
          <w:rFonts w:hint="eastAsia" w:ascii="仿宋" w:hAnsi="仿宋" w:eastAsia="仿宋" w:cs="仿宋"/>
          <w:sz w:val="32"/>
          <w:szCs w:val="32"/>
          <w:lang w:val="en-US" w:eastAsia="zh-CN"/>
        </w:rPr>
        <w:t>264</w:t>
      </w:r>
      <w:r>
        <w:rPr>
          <w:rFonts w:hint="eastAsia" w:ascii="仿宋" w:hAnsi="仿宋" w:eastAsia="仿宋" w:cs="仿宋"/>
          <w:sz w:val="32"/>
          <w:szCs w:val="32"/>
        </w:rPr>
        <w:t>人，其中：外事接待费共计</w:t>
      </w:r>
      <w:r>
        <w:rPr>
          <w:rFonts w:hint="eastAsia" w:ascii="仿宋" w:hAnsi="仿宋" w:eastAsia="仿宋" w:cs="仿宋"/>
          <w:sz w:val="32"/>
          <w:szCs w:val="32"/>
          <w:lang w:val="en-US" w:eastAsia="zh-CN"/>
        </w:rPr>
        <w:t>0.51</w:t>
      </w:r>
      <w:r>
        <w:rPr>
          <w:rFonts w:hint="eastAsia" w:ascii="仿宋" w:hAnsi="仿宋" w:eastAsia="仿宋" w:cs="仿宋"/>
          <w:sz w:val="32"/>
          <w:szCs w:val="32"/>
        </w:rPr>
        <w:t xml:space="preserve">万元，2017年预算相比减少 </w:t>
      </w:r>
      <w:r>
        <w:rPr>
          <w:rFonts w:hint="eastAsia" w:ascii="仿宋" w:hAnsi="仿宋" w:eastAsia="仿宋" w:cs="仿宋"/>
          <w:sz w:val="32"/>
          <w:szCs w:val="32"/>
          <w:lang w:val="en-US" w:eastAsia="zh-CN"/>
        </w:rPr>
        <w:t>0.07</w:t>
      </w:r>
      <w:r>
        <w:rPr>
          <w:rFonts w:hint="eastAsia" w:ascii="仿宋" w:hAnsi="仿宋" w:eastAsia="仿宋" w:cs="仿宋"/>
          <w:sz w:val="32"/>
          <w:szCs w:val="32"/>
        </w:rPr>
        <w:t xml:space="preserve"> 万元，下降</w:t>
      </w:r>
      <w:r>
        <w:rPr>
          <w:rFonts w:hint="eastAsia" w:ascii="仿宋" w:hAnsi="仿宋" w:eastAsia="仿宋" w:cs="仿宋"/>
          <w:sz w:val="32"/>
          <w:szCs w:val="32"/>
          <w:lang w:val="en-US" w:eastAsia="zh-CN"/>
        </w:rPr>
        <w:t>12</w:t>
      </w:r>
      <w:r>
        <w:rPr>
          <w:rFonts w:hint="eastAsia" w:ascii="仿宋" w:hAnsi="仿宋" w:eastAsia="仿宋" w:cs="仿宋"/>
          <w:sz w:val="32"/>
          <w:szCs w:val="32"/>
        </w:rPr>
        <w:t xml:space="preserve"> %；与2016年决算相比减少 </w:t>
      </w:r>
      <w:r>
        <w:rPr>
          <w:rFonts w:hint="eastAsia" w:ascii="仿宋" w:hAnsi="仿宋" w:eastAsia="仿宋" w:cs="仿宋"/>
          <w:sz w:val="32"/>
          <w:szCs w:val="32"/>
          <w:lang w:val="en-US" w:eastAsia="zh-CN"/>
        </w:rPr>
        <w:t>0.05</w:t>
      </w:r>
      <w:r>
        <w:rPr>
          <w:rFonts w:hint="eastAsia" w:ascii="仿宋" w:hAnsi="仿宋" w:eastAsia="仿宋" w:cs="仿宋"/>
          <w:sz w:val="32"/>
          <w:szCs w:val="32"/>
        </w:rPr>
        <w:t xml:space="preserve"> 万元，下降 </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 %。外事接待共计 </w:t>
      </w:r>
      <w:r>
        <w:rPr>
          <w:rFonts w:hint="eastAsia" w:ascii="仿宋" w:hAnsi="仿宋" w:eastAsia="仿宋" w:cs="仿宋"/>
          <w:sz w:val="32"/>
          <w:szCs w:val="32"/>
          <w:lang w:val="en-US" w:eastAsia="zh-CN"/>
        </w:rPr>
        <w:t>19</w:t>
      </w:r>
      <w:r>
        <w:rPr>
          <w:rFonts w:hint="eastAsia" w:ascii="仿宋" w:hAnsi="仿宋" w:eastAsia="仿宋" w:cs="仿宋"/>
          <w:sz w:val="32"/>
          <w:szCs w:val="32"/>
        </w:rPr>
        <w:t xml:space="preserve"> 个批次，接待人次 </w:t>
      </w:r>
      <w:r>
        <w:rPr>
          <w:rFonts w:hint="eastAsia" w:ascii="仿宋" w:hAnsi="仿宋" w:eastAsia="仿宋" w:cs="仿宋"/>
          <w:sz w:val="32"/>
          <w:szCs w:val="32"/>
          <w:lang w:val="en-US" w:eastAsia="zh-CN"/>
        </w:rPr>
        <w:t>264</w:t>
      </w:r>
      <w:r>
        <w:rPr>
          <w:rFonts w:hint="eastAsia" w:ascii="仿宋" w:hAnsi="仿宋" w:eastAsia="仿宋" w:cs="仿宋"/>
          <w:sz w:val="32"/>
          <w:szCs w:val="32"/>
        </w:rPr>
        <w:t xml:space="preserve">  人。</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（2）国（境）外接待费支出 </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万元，与2017年预算相比减少 </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万元，下降 </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%；与2016年决算相比减少</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万元，下降</w:t>
      </w:r>
      <w:bookmarkStart w:id="0" w:name="_GoBack"/>
      <w:bookmarkEnd w:id="0"/>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w:t>
      </w:r>
    </w:p>
    <w:p>
      <w:pPr>
        <w:adjustRightInd w:val="0"/>
        <w:snapToGrid w:val="0"/>
        <w:spacing w:line="600" w:lineRule="atLeast"/>
        <w:ind w:firstLine="643" w:firstLineChars="200"/>
        <w:rPr>
          <w:rFonts w:ascii="仿宋" w:hAnsi="仿宋" w:eastAsia="仿宋" w:cs="仿宋"/>
          <w:b/>
          <w:bCs/>
          <w:sz w:val="32"/>
          <w:szCs w:val="32"/>
        </w:rPr>
      </w:pPr>
      <w:r>
        <w:rPr>
          <w:rFonts w:hint="eastAsia" w:ascii="仿宋" w:hAnsi="仿宋" w:eastAsia="仿宋" w:cs="仿宋"/>
          <w:b/>
          <w:bCs/>
          <w:sz w:val="32"/>
          <w:szCs w:val="32"/>
        </w:rPr>
        <w:t>九、预算绩效管理工作开展情况说明</w:t>
      </w:r>
    </w:p>
    <w:p>
      <w:pPr>
        <w:adjustRightInd w:val="0"/>
        <w:snapToGrid w:val="0"/>
        <w:spacing w:line="600" w:lineRule="atLeast"/>
        <w:ind w:firstLine="643" w:firstLineChars="200"/>
        <w:rPr>
          <w:rFonts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按照深入贯彻十九大提出的“全面实施绩效管理”的要求，切实加强预算绩效管理。一是进一步强化绩效意识，树立“用钱必问效、无效必问责”的思想，加强绩效自评价。2017年以来，我乡积极落实上级相关文件精神，不断强化绩效理念，并结合自身实际，切实把加强预算绩效管理作为我乡的一项重要工作来抓。</w:t>
      </w:r>
    </w:p>
    <w:p>
      <w:pPr>
        <w:pStyle w:val="6"/>
        <w:spacing w:before="0" w:beforeAutospacing="0" w:after="0" w:afterAutospacing="0" w:line="300" w:lineRule="atLeast"/>
        <w:ind w:firstLine="645"/>
        <w:rPr>
          <w:rFonts w:ascii="仿宋" w:hAnsi="仿宋" w:eastAsia="仿宋" w:cs="仿宋"/>
          <w:kern w:val="2"/>
          <w:sz w:val="32"/>
          <w:szCs w:val="32"/>
        </w:rPr>
      </w:pPr>
      <w:r>
        <w:rPr>
          <w:rFonts w:hint="eastAsia" w:ascii="仿宋" w:hAnsi="仿宋" w:eastAsia="仿宋" w:cs="仿宋"/>
          <w:b/>
          <w:kern w:val="2"/>
          <w:sz w:val="32"/>
          <w:szCs w:val="32"/>
        </w:rPr>
        <w:t>绩效开展：</w:t>
      </w:r>
      <w:r>
        <w:rPr>
          <w:rFonts w:hint="eastAsia" w:ascii="仿宋" w:hAnsi="仿宋" w:eastAsia="仿宋" w:cs="仿宋"/>
          <w:kern w:val="2"/>
          <w:sz w:val="32"/>
          <w:szCs w:val="32"/>
        </w:rPr>
        <w:t>2017年预算绩效管理工作重点一是加大宣传培训力度，增强各部门对此项工作重要性和必要性的认识；二是督促部门积极开展财政支出绩效自评工作，加强对财政支出的责任管理；三是不断探索和完善预算绩效管理各项制度，四是做好绩效评价结果的应用，要把绩效评价的结果与后续的预算安排相联系，切实保障绩效评价对预算编制的指导意义。</w:t>
      </w:r>
    </w:p>
    <w:p>
      <w:pPr>
        <w:pStyle w:val="6"/>
        <w:spacing w:before="0" w:beforeAutospacing="0" w:after="0" w:afterAutospacing="0" w:line="300" w:lineRule="atLeast"/>
        <w:ind w:firstLine="645"/>
        <w:rPr>
          <w:rFonts w:ascii="仿宋" w:hAnsi="仿宋" w:eastAsia="仿宋" w:cs="仿宋"/>
          <w:kern w:val="2"/>
          <w:sz w:val="32"/>
          <w:szCs w:val="32"/>
        </w:rPr>
      </w:pPr>
      <w:r>
        <w:rPr>
          <w:rFonts w:hint="eastAsia" w:ascii="仿宋" w:hAnsi="仿宋" w:eastAsia="仿宋" w:cs="仿宋"/>
          <w:b/>
          <w:sz w:val="32"/>
          <w:szCs w:val="32"/>
        </w:rPr>
        <w:t>绩效完成</w:t>
      </w:r>
      <w:r>
        <w:rPr>
          <w:rFonts w:hint="eastAsia" w:ascii="仿宋" w:hAnsi="仿宋" w:eastAsia="仿宋" w:cs="仿宋"/>
          <w:sz w:val="32"/>
          <w:szCs w:val="32"/>
        </w:rPr>
        <w:t>：2017年，我乡要开展秸秆禁烧活动，加强大气污染防治，推动我乡环境空气质量改善。减少排放消减率。开展环境保护活动加强村镇建设改善农村人居环境，实现统筹发展。绿化植树，提高森林质量，促进林业持续发展。亮化环境，改善出行环境，基础设施美化亮化。加强基层组织和政权建设深化农村改革，发展农村经济。村级转移支付是农业税改革后对村集体的经济补助，保障村集体正常运行。</w:t>
      </w:r>
    </w:p>
    <w:p>
      <w:pPr>
        <w:adjustRightInd w:val="0"/>
        <w:snapToGrid w:val="0"/>
        <w:spacing w:line="600" w:lineRule="atLeast"/>
        <w:ind w:firstLine="643" w:firstLineChars="200"/>
        <w:rPr>
          <w:rFonts w:ascii="仿宋" w:hAnsi="仿宋" w:eastAsia="仿宋" w:cs="仿宋"/>
          <w:b/>
          <w:bCs/>
          <w:sz w:val="32"/>
          <w:szCs w:val="32"/>
        </w:rPr>
      </w:pPr>
      <w:r>
        <w:rPr>
          <w:rFonts w:hint="eastAsia" w:ascii="仿宋" w:hAnsi="仿宋" w:eastAsia="仿宋" w:cs="仿宋"/>
          <w:b/>
          <w:bCs/>
          <w:sz w:val="32"/>
          <w:szCs w:val="32"/>
        </w:rPr>
        <w:t>十、其他重要事项的说明</w:t>
      </w:r>
    </w:p>
    <w:p>
      <w:pPr>
        <w:adjustRightInd w:val="0"/>
        <w:snapToGrid w:val="0"/>
        <w:spacing w:line="600" w:lineRule="atLeast"/>
        <w:ind w:firstLine="643" w:firstLineChars="200"/>
        <w:rPr>
          <w:rFonts w:ascii="仿宋" w:hAnsi="仿宋" w:eastAsia="仿宋" w:cs="仿宋"/>
          <w:b/>
          <w:bCs/>
          <w:sz w:val="32"/>
          <w:szCs w:val="32"/>
        </w:rPr>
      </w:pPr>
      <w:r>
        <w:rPr>
          <w:rFonts w:hint="eastAsia" w:ascii="仿宋" w:hAnsi="仿宋" w:eastAsia="仿宋" w:cs="仿宋"/>
          <w:b/>
          <w:bCs/>
          <w:sz w:val="32"/>
          <w:szCs w:val="32"/>
        </w:rPr>
        <w:t>1.机关运行经费情况</w:t>
      </w:r>
    </w:p>
    <w:p>
      <w:pPr>
        <w:widowControl/>
        <w:shd w:val="clear" w:color="auto" w:fill="FFFFFF"/>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2017年政府机关运行经费总额90.07万元，其中商品和服务支出办公费23.42万元、印刷费4万元、电费9.3万元、邮电费3.4万元、取暖费5.75万元、差旅费0.48万元、公务接待费0.52万元、维修（户）费5万元、工会经费6.28万元、福利费12.35万元、公务用车运行维护费2.7万元、其他交通费14.87万元、办公设备购置2万元，比2016年减少14.22万元，压缩16%，原因：严格落实厉行节约，加强机构编制和人员经费管理，规范公务用车配备使用管理。</w:t>
      </w:r>
    </w:p>
    <w:p>
      <w:pPr>
        <w:adjustRightInd w:val="0"/>
        <w:snapToGrid w:val="0"/>
        <w:spacing w:line="600" w:lineRule="atLeast"/>
        <w:ind w:firstLine="643" w:firstLineChars="200"/>
        <w:rPr>
          <w:rFonts w:ascii="仿宋" w:hAnsi="仿宋" w:eastAsia="仿宋" w:cs="仿宋"/>
          <w:sz w:val="32"/>
          <w:szCs w:val="32"/>
        </w:rPr>
      </w:pPr>
      <w:r>
        <w:rPr>
          <w:rFonts w:hint="eastAsia" w:ascii="仿宋" w:hAnsi="仿宋" w:eastAsia="仿宋" w:cs="仿宋"/>
          <w:b/>
          <w:bCs/>
          <w:sz w:val="32"/>
          <w:szCs w:val="32"/>
        </w:rPr>
        <w:t>2、政府采购情况的说明</w:t>
      </w:r>
    </w:p>
    <w:p>
      <w:pPr>
        <w:widowControl/>
        <w:shd w:val="clear" w:color="auto" w:fill="FFFFFF"/>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王同岳乡2017年采购计划金额一般公共预算工程212万元。实际采购金额一般公共预算工程204.950068万元；明细如下：</w:t>
      </w:r>
    </w:p>
    <w:p>
      <w:pPr>
        <w:widowControl/>
        <w:shd w:val="clear" w:color="auto" w:fill="FFFFFF"/>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王同岳乡一致合村中心广场建设及街道改造工程71.18万元。单铺村道路建设97.78万元。王庄村道路建设35.990068万元。以上工程共计204.950068万元。</w:t>
      </w:r>
    </w:p>
    <w:p>
      <w:pPr>
        <w:widowControl/>
        <w:shd w:val="clear" w:color="auto" w:fill="FFFFFF"/>
        <w:spacing w:line="580" w:lineRule="exact"/>
        <w:ind w:firstLine="640" w:firstLineChars="200"/>
        <w:rPr>
          <w:rFonts w:ascii="仿宋" w:hAnsi="仿宋" w:eastAsia="仿宋" w:cs="仿宋"/>
          <w:sz w:val="32"/>
          <w:szCs w:val="32"/>
        </w:rPr>
      </w:pPr>
    </w:p>
    <w:p>
      <w:pPr>
        <w:adjustRightInd w:val="0"/>
        <w:snapToGrid w:val="0"/>
        <w:spacing w:line="600" w:lineRule="atLeast"/>
        <w:ind w:firstLine="643" w:firstLineChars="200"/>
        <w:rPr>
          <w:rFonts w:ascii="仿宋" w:hAnsi="仿宋" w:eastAsia="仿宋" w:cs="仿宋"/>
          <w:b/>
          <w:bCs/>
          <w:sz w:val="32"/>
          <w:szCs w:val="32"/>
        </w:rPr>
      </w:pPr>
      <w:r>
        <w:rPr>
          <w:rFonts w:hint="eastAsia" w:ascii="仿宋" w:hAnsi="仿宋" w:eastAsia="仿宋" w:cs="仿宋"/>
          <w:b/>
          <w:bCs/>
          <w:sz w:val="32"/>
          <w:szCs w:val="32"/>
        </w:rPr>
        <w:t>3.国有资产占用情况</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截止2017年12月31日，本单位共有车辆1辆，其中，一般公务用车1辆；单位价值50万元以上大型0台（套），单位价值100万元以上大型0台（套）.本单位固定资产包含房屋、车辆、及其他固定资产，总价值194.35万元，其中房屋1732平米价值94.7万元，公用车1辆，价值17.98万元，及其他固定资产包括办公家具、空调、办公电脑等，价值81.67万元，与2016年固定资产198.87万元相比，下降2.3%，其原因当年新增固定资产7.67万元，核销公车1辆12.2万元，固定资产年末为194.34万元，固定资产无出租出借情况，全部为本单位使用.</w:t>
      </w:r>
    </w:p>
    <w:p>
      <w:pPr>
        <w:adjustRightInd w:val="0"/>
        <w:snapToGrid w:val="0"/>
        <w:spacing w:line="600" w:lineRule="atLeast"/>
        <w:ind w:firstLine="643" w:firstLineChars="200"/>
        <w:rPr>
          <w:rFonts w:ascii="仿宋" w:hAnsi="仿宋" w:eastAsia="仿宋" w:cs="仿宋"/>
          <w:b/>
          <w:bCs/>
          <w:sz w:val="32"/>
          <w:szCs w:val="32"/>
        </w:rPr>
      </w:pPr>
      <w:r>
        <w:rPr>
          <w:rFonts w:hint="eastAsia" w:ascii="仿宋" w:hAnsi="仿宋" w:eastAsia="仿宋" w:cs="仿宋"/>
          <w:b/>
          <w:bCs/>
          <w:sz w:val="32"/>
          <w:szCs w:val="32"/>
        </w:rPr>
        <w:t>4.其他需要说明的情况</w:t>
      </w:r>
    </w:p>
    <w:p>
      <w:pPr>
        <w:adjustRightInd w:val="0"/>
        <w:snapToGrid w:val="0"/>
        <w:spacing w:line="600" w:lineRule="atLeast"/>
        <w:ind w:firstLine="640" w:firstLineChars="200"/>
        <w:rPr>
          <w:rFonts w:ascii="仿宋" w:hAnsi="仿宋" w:eastAsia="仿宋" w:cs="仿宋"/>
          <w:b/>
          <w:bCs/>
          <w:sz w:val="32"/>
          <w:szCs w:val="32"/>
        </w:rPr>
      </w:pPr>
      <w:r>
        <w:rPr>
          <w:rFonts w:hint="eastAsia" w:ascii="仿宋" w:hAnsi="仿宋" w:eastAsia="仿宋" w:cs="仿宋"/>
          <w:bCs/>
          <w:sz w:val="32"/>
          <w:szCs w:val="32"/>
        </w:rPr>
        <w:t>无其他说明情况。</w:t>
      </w:r>
    </w:p>
    <w:p>
      <w:pPr>
        <w:adjustRightInd w:val="0"/>
        <w:snapToGrid w:val="0"/>
        <w:spacing w:line="600" w:lineRule="atLeast"/>
        <w:ind w:firstLine="643" w:firstLineChars="200"/>
        <w:rPr>
          <w:rFonts w:ascii="仿宋" w:hAnsi="仿宋" w:eastAsia="仿宋" w:cs="仿宋"/>
          <w:b/>
          <w:bCs/>
          <w:sz w:val="32"/>
          <w:szCs w:val="32"/>
        </w:rPr>
      </w:pPr>
      <w:r>
        <w:rPr>
          <w:rFonts w:hint="eastAsia" w:ascii="仿宋" w:hAnsi="仿宋" w:eastAsia="仿宋" w:cs="仿宋"/>
          <w:b/>
          <w:bCs/>
          <w:sz w:val="32"/>
          <w:szCs w:val="32"/>
        </w:rPr>
        <w:t>第四部分  名词解释</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（一）财政拨款收入：本年度从本级财政部门取得的财政拨款，包括一般公共预算财政拨款和政府性基金预算财政拨款。</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（二）事业收入：指事业单位开展专业业务活动及辅助活动所取得的收入。</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（三）其他收入：指除上述“财政拨款收入”、“事业收入”、“经营收入”等以外的收入。</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（五）年初结转和结余：指以前年度尚未完成、结转到本年仍按原规定用途继续使用的资金，或项目已完成等产生的结余资金。</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（六）结余分配：指事业单位按照事业单位会计制度的规定从非财政补助结余中分配的事业基金和职工福利基金等。</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（七）年末结转和结余：指单位按有关规定结转到下年或以后年度继续使用的资金，或项目已完成等产生的结余资金。</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（八）基本支出：填列单位为保障机构正常运转、完成日常工作任务而发生的各项支出。</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（九）项目支出：填列单位为完成特定的行政工作任务或事业发展目标，在基本支出之外发生的各项支出。</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（十一）其他资本性支出：填列由各级非发展与改革部门集中安排的用于购置固定资产、战略性和应急性储备、土地和无形资产，以及购建基础设施、大型修缮和财政支持企业更新改造所发生的支出。</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（十三）其他交通费用：填列单位除公务用车运行维护费以外的其他交通费用。如飞机、船舶等的燃料费、维修费、过桥过路费、保险费、出租车费用、公务交通补贴等。</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（十四）公务用车购置：填列单位公务用车车辆购置费支出（含车辆购置税）。</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（十五）其他交通工具购置：填列单位除公务用车外的其他各类交通工具（如船舶、飞机）购置支出（含车辆购置税）。</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十六）机关运行经费：指为保障行政单位（包括参照公务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rPr>
          <w:rFonts w:ascii="仿宋_GB2312" w:hAnsi="仿宋_GB2312" w:eastAsia="仿宋_GB2312" w:cs="仿宋_GB2312"/>
          <w:b/>
          <w:bCs/>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758" w:right="1474"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w:t>
    </w:r>
    <w:r>
      <w:t xml:space="preserve"> 15 -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64446"/>
    <w:multiLevelType w:val="singleLevel"/>
    <w:tmpl w:val="59A64446"/>
    <w:lvl w:ilvl="0" w:tentative="0">
      <w:start w:val="1"/>
      <w:numFmt w:val="chineseCounting"/>
      <w:suff w:val="nothing"/>
      <w:lvlText w:val="%1、"/>
      <w:lvlJc w:val="left"/>
    </w:lvl>
  </w:abstractNum>
  <w:abstractNum w:abstractNumId="1">
    <w:nsid w:val="59AFB48E"/>
    <w:multiLevelType w:val="singleLevel"/>
    <w:tmpl w:val="59AFB48E"/>
    <w:lvl w:ilvl="0" w:tentative="0">
      <w:start w:val="10"/>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A1C"/>
    <w:rsid w:val="000046B5"/>
    <w:rsid w:val="00004E1C"/>
    <w:rsid w:val="00021E13"/>
    <w:rsid w:val="000314DE"/>
    <w:rsid w:val="00033252"/>
    <w:rsid w:val="000429D6"/>
    <w:rsid w:val="000444D9"/>
    <w:rsid w:val="00044F37"/>
    <w:rsid w:val="00046EF7"/>
    <w:rsid w:val="00055257"/>
    <w:rsid w:val="00067517"/>
    <w:rsid w:val="000727D1"/>
    <w:rsid w:val="000756F5"/>
    <w:rsid w:val="000813C4"/>
    <w:rsid w:val="00087597"/>
    <w:rsid w:val="00090793"/>
    <w:rsid w:val="00093215"/>
    <w:rsid w:val="000A3B50"/>
    <w:rsid w:val="000A5F38"/>
    <w:rsid w:val="000B1469"/>
    <w:rsid w:val="000B7BED"/>
    <w:rsid w:val="000C2733"/>
    <w:rsid w:val="000C3359"/>
    <w:rsid w:val="000C49D3"/>
    <w:rsid w:val="000C4DE3"/>
    <w:rsid w:val="000E37E9"/>
    <w:rsid w:val="000E4CEC"/>
    <w:rsid w:val="000E6681"/>
    <w:rsid w:val="000F1C16"/>
    <w:rsid w:val="000F3411"/>
    <w:rsid w:val="000F4D87"/>
    <w:rsid w:val="000F5250"/>
    <w:rsid w:val="00110291"/>
    <w:rsid w:val="00113E53"/>
    <w:rsid w:val="00114DBC"/>
    <w:rsid w:val="00115880"/>
    <w:rsid w:val="00120444"/>
    <w:rsid w:val="00120D88"/>
    <w:rsid w:val="0012468D"/>
    <w:rsid w:val="00125162"/>
    <w:rsid w:val="0012667C"/>
    <w:rsid w:val="001313D9"/>
    <w:rsid w:val="001318EB"/>
    <w:rsid w:val="00141AA3"/>
    <w:rsid w:val="00142825"/>
    <w:rsid w:val="00153FF6"/>
    <w:rsid w:val="00157437"/>
    <w:rsid w:val="00171F69"/>
    <w:rsid w:val="00173073"/>
    <w:rsid w:val="001745E3"/>
    <w:rsid w:val="00175D37"/>
    <w:rsid w:val="00181612"/>
    <w:rsid w:val="001816CD"/>
    <w:rsid w:val="00181872"/>
    <w:rsid w:val="00181CD2"/>
    <w:rsid w:val="00191959"/>
    <w:rsid w:val="001A7D15"/>
    <w:rsid w:val="001D0141"/>
    <w:rsid w:val="001E6516"/>
    <w:rsid w:val="001F5CFF"/>
    <w:rsid w:val="00203D39"/>
    <w:rsid w:val="00204086"/>
    <w:rsid w:val="0020614E"/>
    <w:rsid w:val="00207316"/>
    <w:rsid w:val="00215FC5"/>
    <w:rsid w:val="00223EC1"/>
    <w:rsid w:val="00235780"/>
    <w:rsid w:val="00237507"/>
    <w:rsid w:val="00240E5A"/>
    <w:rsid w:val="00246093"/>
    <w:rsid w:val="00252D20"/>
    <w:rsid w:val="00253E57"/>
    <w:rsid w:val="002579E9"/>
    <w:rsid w:val="00266C6C"/>
    <w:rsid w:val="002741C3"/>
    <w:rsid w:val="002801BE"/>
    <w:rsid w:val="00292857"/>
    <w:rsid w:val="002935A3"/>
    <w:rsid w:val="002948A8"/>
    <w:rsid w:val="002A62AF"/>
    <w:rsid w:val="002B0873"/>
    <w:rsid w:val="002B0A79"/>
    <w:rsid w:val="002C1D12"/>
    <w:rsid w:val="002C45E1"/>
    <w:rsid w:val="002F6437"/>
    <w:rsid w:val="00301D44"/>
    <w:rsid w:val="003107BE"/>
    <w:rsid w:val="00312A55"/>
    <w:rsid w:val="00325C3C"/>
    <w:rsid w:val="00331146"/>
    <w:rsid w:val="00332AC9"/>
    <w:rsid w:val="0034012B"/>
    <w:rsid w:val="00342104"/>
    <w:rsid w:val="00354602"/>
    <w:rsid w:val="00357C3B"/>
    <w:rsid w:val="00360D77"/>
    <w:rsid w:val="003645AD"/>
    <w:rsid w:val="00372E38"/>
    <w:rsid w:val="00375695"/>
    <w:rsid w:val="00375A06"/>
    <w:rsid w:val="00381D8F"/>
    <w:rsid w:val="0038307A"/>
    <w:rsid w:val="00383F91"/>
    <w:rsid w:val="00386FCA"/>
    <w:rsid w:val="00387977"/>
    <w:rsid w:val="0039341C"/>
    <w:rsid w:val="003A0663"/>
    <w:rsid w:val="003A7F49"/>
    <w:rsid w:val="003C1D21"/>
    <w:rsid w:val="003C5ED3"/>
    <w:rsid w:val="003E0189"/>
    <w:rsid w:val="003E0440"/>
    <w:rsid w:val="003E1679"/>
    <w:rsid w:val="003E5468"/>
    <w:rsid w:val="003E5FA8"/>
    <w:rsid w:val="003F3E1D"/>
    <w:rsid w:val="003F5997"/>
    <w:rsid w:val="00402861"/>
    <w:rsid w:val="0040399E"/>
    <w:rsid w:val="00407C61"/>
    <w:rsid w:val="004103D0"/>
    <w:rsid w:val="00415B69"/>
    <w:rsid w:val="00441C73"/>
    <w:rsid w:val="00456EB8"/>
    <w:rsid w:val="004573F2"/>
    <w:rsid w:val="00462AAF"/>
    <w:rsid w:val="0047103F"/>
    <w:rsid w:val="00474FE7"/>
    <w:rsid w:val="00481430"/>
    <w:rsid w:val="0048180C"/>
    <w:rsid w:val="00487C81"/>
    <w:rsid w:val="0049421D"/>
    <w:rsid w:val="004A28B1"/>
    <w:rsid w:val="004A5CC8"/>
    <w:rsid w:val="004B1573"/>
    <w:rsid w:val="004B70E7"/>
    <w:rsid w:val="004C6999"/>
    <w:rsid w:val="004D03B0"/>
    <w:rsid w:val="004D1A22"/>
    <w:rsid w:val="004D2110"/>
    <w:rsid w:val="004D7E64"/>
    <w:rsid w:val="004E02A3"/>
    <w:rsid w:val="004E6AD3"/>
    <w:rsid w:val="004F1CAA"/>
    <w:rsid w:val="004F566D"/>
    <w:rsid w:val="00500462"/>
    <w:rsid w:val="00502DFE"/>
    <w:rsid w:val="00506449"/>
    <w:rsid w:val="005130E5"/>
    <w:rsid w:val="00526FBB"/>
    <w:rsid w:val="00527660"/>
    <w:rsid w:val="005369A5"/>
    <w:rsid w:val="0054409E"/>
    <w:rsid w:val="005462A6"/>
    <w:rsid w:val="0055485F"/>
    <w:rsid w:val="00564F29"/>
    <w:rsid w:val="00566CBA"/>
    <w:rsid w:val="00570B98"/>
    <w:rsid w:val="00573B11"/>
    <w:rsid w:val="0058219C"/>
    <w:rsid w:val="00582A4C"/>
    <w:rsid w:val="00584716"/>
    <w:rsid w:val="00584BE3"/>
    <w:rsid w:val="00586920"/>
    <w:rsid w:val="005921C9"/>
    <w:rsid w:val="00593DDC"/>
    <w:rsid w:val="005B1614"/>
    <w:rsid w:val="005C23BE"/>
    <w:rsid w:val="005C2F0F"/>
    <w:rsid w:val="005C732F"/>
    <w:rsid w:val="005D0629"/>
    <w:rsid w:val="005D3CEB"/>
    <w:rsid w:val="005D6FC5"/>
    <w:rsid w:val="005D70EB"/>
    <w:rsid w:val="005D7EFF"/>
    <w:rsid w:val="005E302E"/>
    <w:rsid w:val="005E5E15"/>
    <w:rsid w:val="005E68BB"/>
    <w:rsid w:val="005E7811"/>
    <w:rsid w:val="005F41B8"/>
    <w:rsid w:val="006025D0"/>
    <w:rsid w:val="00602691"/>
    <w:rsid w:val="00607C99"/>
    <w:rsid w:val="0063219B"/>
    <w:rsid w:val="00632DC0"/>
    <w:rsid w:val="006369AA"/>
    <w:rsid w:val="006376BE"/>
    <w:rsid w:val="00641037"/>
    <w:rsid w:val="0064281E"/>
    <w:rsid w:val="00645E0B"/>
    <w:rsid w:val="006577CE"/>
    <w:rsid w:val="00666EB7"/>
    <w:rsid w:val="00672604"/>
    <w:rsid w:val="00675F7A"/>
    <w:rsid w:val="00677391"/>
    <w:rsid w:val="0068182B"/>
    <w:rsid w:val="00682153"/>
    <w:rsid w:val="0068216C"/>
    <w:rsid w:val="00691D9D"/>
    <w:rsid w:val="00694DAF"/>
    <w:rsid w:val="0069527B"/>
    <w:rsid w:val="006A006A"/>
    <w:rsid w:val="006A0BDF"/>
    <w:rsid w:val="006B473A"/>
    <w:rsid w:val="006B55C1"/>
    <w:rsid w:val="006B64EB"/>
    <w:rsid w:val="006C1EA3"/>
    <w:rsid w:val="006C69D9"/>
    <w:rsid w:val="006D00F3"/>
    <w:rsid w:val="006D3FDF"/>
    <w:rsid w:val="006D4027"/>
    <w:rsid w:val="006D62CA"/>
    <w:rsid w:val="006F02A8"/>
    <w:rsid w:val="006F25E8"/>
    <w:rsid w:val="006F40B7"/>
    <w:rsid w:val="0070061C"/>
    <w:rsid w:val="00704732"/>
    <w:rsid w:val="00716BB6"/>
    <w:rsid w:val="00722934"/>
    <w:rsid w:val="007427C1"/>
    <w:rsid w:val="007500EF"/>
    <w:rsid w:val="00752AB4"/>
    <w:rsid w:val="00755E6B"/>
    <w:rsid w:val="00762194"/>
    <w:rsid w:val="0076271C"/>
    <w:rsid w:val="00763EFA"/>
    <w:rsid w:val="00772280"/>
    <w:rsid w:val="0077552C"/>
    <w:rsid w:val="00775F4F"/>
    <w:rsid w:val="00782E10"/>
    <w:rsid w:val="0078341A"/>
    <w:rsid w:val="00785BF2"/>
    <w:rsid w:val="0078747C"/>
    <w:rsid w:val="00787CC1"/>
    <w:rsid w:val="007902C0"/>
    <w:rsid w:val="00796165"/>
    <w:rsid w:val="007961C3"/>
    <w:rsid w:val="0079634D"/>
    <w:rsid w:val="007A7C0D"/>
    <w:rsid w:val="007C3C3E"/>
    <w:rsid w:val="007C4C81"/>
    <w:rsid w:val="007C54DA"/>
    <w:rsid w:val="007C6501"/>
    <w:rsid w:val="007C746A"/>
    <w:rsid w:val="007D0972"/>
    <w:rsid w:val="007D206E"/>
    <w:rsid w:val="007D76D5"/>
    <w:rsid w:val="007E2476"/>
    <w:rsid w:val="007E6DAB"/>
    <w:rsid w:val="007F151C"/>
    <w:rsid w:val="007F2F7A"/>
    <w:rsid w:val="007F3875"/>
    <w:rsid w:val="007F6B2A"/>
    <w:rsid w:val="0080120E"/>
    <w:rsid w:val="00801A4A"/>
    <w:rsid w:val="00805264"/>
    <w:rsid w:val="00810F16"/>
    <w:rsid w:val="008166BE"/>
    <w:rsid w:val="00817A72"/>
    <w:rsid w:val="008426F4"/>
    <w:rsid w:val="008603D7"/>
    <w:rsid w:val="008643FB"/>
    <w:rsid w:val="00865543"/>
    <w:rsid w:val="00870592"/>
    <w:rsid w:val="00871C0A"/>
    <w:rsid w:val="00885085"/>
    <w:rsid w:val="00887581"/>
    <w:rsid w:val="00894E89"/>
    <w:rsid w:val="00895D0E"/>
    <w:rsid w:val="008A1059"/>
    <w:rsid w:val="008A34CD"/>
    <w:rsid w:val="008A48D3"/>
    <w:rsid w:val="008A7748"/>
    <w:rsid w:val="008B440A"/>
    <w:rsid w:val="008C3237"/>
    <w:rsid w:val="008C7489"/>
    <w:rsid w:val="008D23FC"/>
    <w:rsid w:val="008D2B59"/>
    <w:rsid w:val="008D5798"/>
    <w:rsid w:val="008D7521"/>
    <w:rsid w:val="008D7DB1"/>
    <w:rsid w:val="008E4784"/>
    <w:rsid w:val="008E7422"/>
    <w:rsid w:val="008E77BB"/>
    <w:rsid w:val="008F76BF"/>
    <w:rsid w:val="00904F48"/>
    <w:rsid w:val="00905308"/>
    <w:rsid w:val="00912624"/>
    <w:rsid w:val="00914BAD"/>
    <w:rsid w:val="0091627B"/>
    <w:rsid w:val="0092272D"/>
    <w:rsid w:val="009317FF"/>
    <w:rsid w:val="00955C6F"/>
    <w:rsid w:val="00961D28"/>
    <w:rsid w:val="00961FFB"/>
    <w:rsid w:val="00965EFB"/>
    <w:rsid w:val="009732EC"/>
    <w:rsid w:val="00976BCB"/>
    <w:rsid w:val="00981C57"/>
    <w:rsid w:val="00982356"/>
    <w:rsid w:val="0098548B"/>
    <w:rsid w:val="00987D74"/>
    <w:rsid w:val="00992F19"/>
    <w:rsid w:val="00994D80"/>
    <w:rsid w:val="00996D96"/>
    <w:rsid w:val="009A164D"/>
    <w:rsid w:val="009A47B7"/>
    <w:rsid w:val="009A6757"/>
    <w:rsid w:val="009A7AB8"/>
    <w:rsid w:val="009B040F"/>
    <w:rsid w:val="009B0E34"/>
    <w:rsid w:val="009B1ECA"/>
    <w:rsid w:val="009B4E1E"/>
    <w:rsid w:val="009B65DB"/>
    <w:rsid w:val="009C33B4"/>
    <w:rsid w:val="009D1C06"/>
    <w:rsid w:val="009E11C0"/>
    <w:rsid w:val="009E1A15"/>
    <w:rsid w:val="009E2036"/>
    <w:rsid w:val="009E3570"/>
    <w:rsid w:val="009E66CD"/>
    <w:rsid w:val="009F6E05"/>
    <w:rsid w:val="00A00958"/>
    <w:rsid w:val="00A05A3F"/>
    <w:rsid w:val="00A1755B"/>
    <w:rsid w:val="00A2106F"/>
    <w:rsid w:val="00A23E98"/>
    <w:rsid w:val="00A24329"/>
    <w:rsid w:val="00A2453F"/>
    <w:rsid w:val="00A26B51"/>
    <w:rsid w:val="00A41893"/>
    <w:rsid w:val="00A46816"/>
    <w:rsid w:val="00A535FB"/>
    <w:rsid w:val="00A57AFD"/>
    <w:rsid w:val="00A605EF"/>
    <w:rsid w:val="00A60C2C"/>
    <w:rsid w:val="00A77383"/>
    <w:rsid w:val="00A81630"/>
    <w:rsid w:val="00A90CE8"/>
    <w:rsid w:val="00A92117"/>
    <w:rsid w:val="00A94E5C"/>
    <w:rsid w:val="00AB2689"/>
    <w:rsid w:val="00AD212B"/>
    <w:rsid w:val="00AD489C"/>
    <w:rsid w:val="00AD64A4"/>
    <w:rsid w:val="00AE00E3"/>
    <w:rsid w:val="00AE7F0D"/>
    <w:rsid w:val="00AF3AD7"/>
    <w:rsid w:val="00AF5AE4"/>
    <w:rsid w:val="00B03745"/>
    <w:rsid w:val="00B03E09"/>
    <w:rsid w:val="00B152CC"/>
    <w:rsid w:val="00B437A8"/>
    <w:rsid w:val="00B44A8D"/>
    <w:rsid w:val="00B46058"/>
    <w:rsid w:val="00B532B9"/>
    <w:rsid w:val="00B65C70"/>
    <w:rsid w:val="00B66492"/>
    <w:rsid w:val="00B71132"/>
    <w:rsid w:val="00B77841"/>
    <w:rsid w:val="00B81FE1"/>
    <w:rsid w:val="00B83600"/>
    <w:rsid w:val="00B90508"/>
    <w:rsid w:val="00B909D8"/>
    <w:rsid w:val="00BA1C31"/>
    <w:rsid w:val="00BA2FD3"/>
    <w:rsid w:val="00BA4728"/>
    <w:rsid w:val="00BA5863"/>
    <w:rsid w:val="00BA7458"/>
    <w:rsid w:val="00BB272D"/>
    <w:rsid w:val="00BB573C"/>
    <w:rsid w:val="00BC24B0"/>
    <w:rsid w:val="00BC6272"/>
    <w:rsid w:val="00BC6B04"/>
    <w:rsid w:val="00BD175D"/>
    <w:rsid w:val="00BD2975"/>
    <w:rsid w:val="00BD62F7"/>
    <w:rsid w:val="00BD6526"/>
    <w:rsid w:val="00BF036B"/>
    <w:rsid w:val="00BF25C9"/>
    <w:rsid w:val="00C01BED"/>
    <w:rsid w:val="00C10140"/>
    <w:rsid w:val="00C1165C"/>
    <w:rsid w:val="00C128F9"/>
    <w:rsid w:val="00C1401C"/>
    <w:rsid w:val="00C265BB"/>
    <w:rsid w:val="00C417F6"/>
    <w:rsid w:val="00C42BE5"/>
    <w:rsid w:val="00C45D9C"/>
    <w:rsid w:val="00C46230"/>
    <w:rsid w:val="00C47747"/>
    <w:rsid w:val="00C510A8"/>
    <w:rsid w:val="00C54757"/>
    <w:rsid w:val="00C5596A"/>
    <w:rsid w:val="00C75912"/>
    <w:rsid w:val="00C76B57"/>
    <w:rsid w:val="00C80304"/>
    <w:rsid w:val="00C900F2"/>
    <w:rsid w:val="00C926C7"/>
    <w:rsid w:val="00C95462"/>
    <w:rsid w:val="00CA07FE"/>
    <w:rsid w:val="00CA4B11"/>
    <w:rsid w:val="00CA76AB"/>
    <w:rsid w:val="00CB43C7"/>
    <w:rsid w:val="00CC00AA"/>
    <w:rsid w:val="00CC5DC8"/>
    <w:rsid w:val="00CC7A4C"/>
    <w:rsid w:val="00CD04D9"/>
    <w:rsid w:val="00CE579F"/>
    <w:rsid w:val="00CF09E6"/>
    <w:rsid w:val="00D03BF3"/>
    <w:rsid w:val="00D0511F"/>
    <w:rsid w:val="00D05FD1"/>
    <w:rsid w:val="00D110A1"/>
    <w:rsid w:val="00D20BEC"/>
    <w:rsid w:val="00D25C7B"/>
    <w:rsid w:val="00D276C0"/>
    <w:rsid w:val="00D34B7F"/>
    <w:rsid w:val="00D37011"/>
    <w:rsid w:val="00D44A50"/>
    <w:rsid w:val="00D450C5"/>
    <w:rsid w:val="00D45FDF"/>
    <w:rsid w:val="00D47EDB"/>
    <w:rsid w:val="00D57CDE"/>
    <w:rsid w:val="00D7148A"/>
    <w:rsid w:val="00D82A9C"/>
    <w:rsid w:val="00D9022C"/>
    <w:rsid w:val="00D95BF6"/>
    <w:rsid w:val="00DA66F6"/>
    <w:rsid w:val="00DA6E6B"/>
    <w:rsid w:val="00DB0BE5"/>
    <w:rsid w:val="00DB5F1B"/>
    <w:rsid w:val="00DE3FBF"/>
    <w:rsid w:val="00DE53CC"/>
    <w:rsid w:val="00DE6B2A"/>
    <w:rsid w:val="00DF211F"/>
    <w:rsid w:val="00DF4B84"/>
    <w:rsid w:val="00DF658E"/>
    <w:rsid w:val="00E011BF"/>
    <w:rsid w:val="00E027BC"/>
    <w:rsid w:val="00E03D9C"/>
    <w:rsid w:val="00E03F77"/>
    <w:rsid w:val="00E156EC"/>
    <w:rsid w:val="00E161E2"/>
    <w:rsid w:val="00E21F01"/>
    <w:rsid w:val="00E23962"/>
    <w:rsid w:val="00E26A05"/>
    <w:rsid w:val="00E27DB5"/>
    <w:rsid w:val="00E41677"/>
    <w:rsid w:val="00E52723"/>
    <w:rsid w:val="00E65263"/>
    <w:rsid w:val="00E65D37"/>
    <w:rsid w:val="00E71F85"/>
    <w:rsid w:val="00E9290A"/>
    <w:rsid w:val="00E93FF0"/>
    <w:rsid w:val="00E94199"/>
    <w:rsid w:val="00E95CEF"/>
    <w:rsid w:val="00EA4DDE"/>
    <w:rsid w:val="00EA6864"/>
    <w:rsid w:val="00EB198D"/>
    <w:rsid w:val="00EB664A"/>
    <w:rsid w:val="00EB7A79"/>
    <w:rsid w:val="00EC0208"/>
    <w:rsid w:val="00EC15FC"/>
    <w:rsid w:val="00EC1B3B"/>
    <w:rsid w:val="00ED4085"/>
    <w:rsid w:val="00EE570E"/>
    <w:rsid w:val="00EE73FC"/>
    <w:rsid w:val="00EF1341"/>
    <w:rsid w:val="00EF1A07"/>
    <w:rsid w:val="00EF3EB3"/>
    <w:rsid w:val="00F01AB6"/>
    <w:rsid w:val="00F0303C"/>
    <w:rsid w:val="00F07BF4"/>
    <w:rsid w:val="00F1471C"/>
    <w:rsid w:val="00F20362"/>
    <w:rsid w:val="00F2384D"/>
    <w:rsid w:val="00F25FBA"/>
    <w:rsid w:val="00F316D0"/>
    <w:rsid w:val="00F33AD7"/>
    <w:rsid w:val="00F34CC8"/>
    <w:rsid w:val="00F46408"/>
    <w:rsid w:val="00F620C4"/>
    <w:rsid w:val="00F82A81"/>
    <w:rsid w:val="00F82AA7"/>
    <w:rsid w:val="00F856AD"/>
    <w:rsid w:val="00F85905"/>
    <w:rsid w:val="00F876FE"/>
    <w:rsid w:val="00F93361"/>
    <w:rsid w:val="00F95ED8"/>
    <w:rsid w:val="00FC36FE"/>
    <w:rsid w:val="00FC4A1C"/>
    <w:rsid w:val="00FC5657"/>
    <w:rsid w:val="00FD3554"/>
    <w:rsid w:val="00FE3161"/>
    <w:rsid w:val="00FE3327"/>
    <w:rsid w:val="00FE3DBC"/>
    <w:rsid w:val="00FE3E73"/>
    <w:rsid w:val="00FE6D2A"/>
    <w:rsid w:val="00FF742A"/>
    <w:rsid w:val="01D1747E"/>
    <w:rsid w:val="02272F38"/>
    <w:rsid w:val="023D4938"/>
    <w:rsid w:val="03210FFA"/>
    <w:rsid w:val="033B6677"/>
    <w:rsid w:val="04210B96"/>
    <w:rsid w:val="058752F3"/>
    <w:rsid w:val="05C10A78"/>
    <w:rsid w:val="061C05ED"/>
    <w:rsid w:val="066308CF"/>
    <w:rsid w:val="087A006B"/>
    <w:rsid w:val="095A3562"/>
    <w:rsid w:val="0A5134E9"/>
    <w:rsid w:val="0CA91D6B"/>
    <w:rsid w:val="0CBA205E"/>
    <w:rsid w:val="0D0B5FD6"/>
    <w:rsid w:val="0D5C2D12"/>
    <w:rsid w:val="0E9E3FF1"/>
    <w:rsid w:val="0EA82D4D"/>
    <w:rsid w:val="0FE94AFA"/>
    <w:rsid w:val="0FF5276B"/>
    <w:rsid w:val="123F2ACA"/>
    <w:rsid w:val="130B1431"/>
    <w:rsid w:val="13683906"/>
    <w:rsid w:val="136E676A"/>
    <w:rsid w:val="1377622F"/>
    <w:rsid w:val="13EE6937"/>
    <w:rsid w:val="15450700"/>
    <w:rsid w:val="157E168C"/>
    <w:rsid w:val="159A490E"/>
    <w:rsid w:val="161D6568"/>
    <w:rsid w:val="18C47598"/>
    <w:rsid w:val="1A5D5A32"/>
    <w:rsid w:val="1AB42AB1"/>
    <w:rsid w:val="1AE75CBE"/>
    <w:rsid w:val="1B512214"/>
    <w:rsid w:val="1B9D37C2"/>
    <w:rsid w:val="1CC42C79"/>
    <w:rsid w:val="1CE74ED3"/>
    <w:rsid w:val="1DFE6275"/>
    <w:rsid w:val="1F391ED4"/>
    <w:rsid w:val="1FF47439"/>
    <w:rsid w:val="22157FA3"/>
    <w:rsid w:val="22C13C46"/>
    <w:rsid w:val="235A28B5"/>
    <w:rsid w:val="23685B5B"/>
    <w:rsid w:val="24674697"/>
    <w:rsid w:val="25946485"/>
    <w:rsid w:val="25D30CBD"/>
    <w:rsid w:val="266C54D3"/>
    <w:rsid w:val="26715479"/>
    <w:rsid w:val="269E70E8"/>
    <w:rsid w:val="273D00F6"/>
    <w:rsid w:val="290F078F"/>
    <w:rsid w:val="291D2BFE"/>
    <w:rsid w:val="292A1EEB"/>
    <w:rsid w:val="2A694B4E"/>
    <w:rsid w:val="2BAB29DC"/>
    <w:rsid w:val="2CAE1D2B"/>
    <w:rsid w:val="2DA26AC5"/>
    <w:rsid w:val="30555003"/>
    <w:rsid w:val="30C81322"/>
    <w:rsid w:val="31085E68"/>
    <w:rsid w:val="338E59A8"/>
    <w:rsid w:val="33E21B16"/>
    <w:rsid w:val="34727EFC"/>
    <w:rsid w:val="3499183E"/>
    <w:rsid w:val="37963A68"/>
    <w:rsid w:val="38585A84"/>
    <w:rsid w:val="3A6A6867"/>
    <w:rsid w:val="3AA52E2A"/>
    <w:rsid w:val="3AC42E67"/>
    <w:rsid w:val="3B4A7793"/>
    <w:rsid w:val="3E24510F"/>
    <w:rsid w:val="40297574"/>
    <w:rsid w:val="40A0386D"/>
    <w:rsid w:val="416B5324"/>
    <w:rsid w:val="43CE0BA1"/>
    <w:rsid w:val="43E44A21"/>
    <w:rsid w:val="44177D6C"/>
    <w:rsid w:val="444360D8"/>
    <w:rsid w:val="457D2F0A"/>
    <w:rsid w:val="468A2C66"/>
    <w:rsid w:val="47007342"/>
    <w:rsid w:val="477C185D"/>
    <w:rsid w:val="47AE3A34"/>
    <w:rsid w:val="487A1634"/>
    <w:rsid w:val="49343A59"/>
    <w:rsid w:val="4ADA4464"/>
    <w:rsid w:val="4BC348D6"/>
    <w:rsid w:val="4DA61C2E"/>
    <w:rsid w:val="4DAD70F1"/>
    <w:rsid w:val="4E871002"/>
    <w:rsid w:val="4EFE52E2"/>
    <w:rsid w:val="4F1E293D"/>
    <w:rsid w:val="4FE86900"/>
    <w:rsid w:val="512B6057"/>
    <w:rsid w:val="51384536"/>
    <w:rsid w:val="51CA7E92"/>
    <w:rsid w:val="547341D8"/>
    <w:rsid w:val="54C0573E"/>
    <w:rsid w:val="56474502"/>
    <w:rsid w:val="56E21C80"/>
    <w:rsid w:val="574635E9"/>
    <w:rsid w:val="579C29B3"/>
    <w:rsid w:val="58060B10"/>
    <w:rsid w:val="58D66D18"/>
    <w:rsid w:val="591C3598"/>
    <w:rsid w:val="59E30CC8"/>
    <w:rsid w:val="5AE42EF6"/>
    <w:rsid w:val="5C2005DE"/>
    <w:rsid w:val="5C9C31E4"/>
    <w:rsid w:val="5D1B3E1E"/>
    <w:rsid w:val="5D556EA5"/>
    <w:rsid w:val="5DCD7D61"/>
    <w:rsid w:val="5E613695"/>
    <w:rsid w:val="5E995AD4"/>
    <w:rsid w:val="5EB91DC3"/>
    <w:rsid w:val="5F977E12"/>
    <w:rsid w:val="605E31A1"/>
    <w:rsid w:val="610B2498"/>
    <w:rsid w:val="619F5833"/>
    <w:rsid w:val="61F74742"/>
    <w:rsid w:val="626F203C"/>
    <w:rsid w:val="65037768"/>
    <w:rsid w:val="650F7C1C"/>
    <w:rsid w:val="6557655A"/>
    <w:rsid w:val="66462D5B"/>
    <w:rsid w:val="66804B20"/>
    <w:rsid w:val="676171CA"/>
    <w:rsid w:val="67A423F4"/>
    <w:rsid w:val="67F038F2"/>
    <w:rsid w:val="688F32FC"/>
    <w:rsid w:val="68A44A74"/>
    <w:rsid w:val="68AC53E4"/>
    <w:rsid w:val="68FC6DC2"/>
    <w:rsid w:val="69C932EE"/>
    <w:rsid w:val="6A882DB7"/>
    <w:rsid w:val="6BD8182A"/>
    <w:rsid w:val="6D73100B"/>
    <w:rsid w:val="6FFF3EB0"/>
    <w:rsid w:val="706F45FB"/>
    <w:rsid w:val="70A3774D"/>
    <w:rsid w:val="716C1486"/>
    <w:rsid w:val="71A573BE"/>
    <w:rsid w:val="73094363"/>
    <w:rsid w:val="738D58F4"/>
    <w:rsid w:val="7431055C"/>
    <w:rsid w:val="75EE7244"/>
    <w:rsid w:val="75F31A17"/>
    <w:rsid w:val="76824115"/>
    <w:rsid w:val="770F5675"/>
    <w:rsid w:val="78F85396"/>
    <w:rsid w:val="790F42DC"/>
    <w:rsid w:val="79210E58"/>
    <w:rsid w:val="795B4B22"/>
    <w:rsid w:val="7A310035"/>
    <w:rsid w:val="7B0B2CC0"/>
    <w:rsid w:val="7BCA06F1"/>
    <w:rsid w:val="7D1B52DD"/>
    <w:rsid w:val="7EF70F66"/>
    <w:rsid w:val="7F2E1C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9"/>
    <w:semiHidden/>
    <w:qFormat/>
    <w:uiPriority w:val="99"/>
    <w:rPr>
      <w:rFonts w:ascii="宋体"/>
      <w:sz w:val="18"/>
      <w:szCs w:val="18"/>
    </w:rPr>
  </w:style>
  <w:style w:type="paragraph" w:styleId="3">
    <w:name w:val="Balloon Text"/>
    <w:basedOn w:val="1"/>
    <w:link w:val="16"/>
    <w:qFormat/>
    <w:uiPriority w:val="99"/>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FollowedHyperlink"/>
    <w:basedOn w:val="7"/>
    <w:semiHidden/>
    <w:unhideWhenUsed/>
    <w:uiPriority w:val="99"/>
    <w:rPr>
      <w:color w:val="2B2B2B"/>
      <w:u w:val="none"/>
    </w:rPr>
  </w:style>
  <w:style w:type="character" w:styleId="9">
    <w:name w:val="Emphasis"/>
    <w:basedOn w:val="7"/>
    <w:qFormat/>
    <w:locked/>
    <w:uiPriority w:val="0"/>
  </w:style>
  <w:style w:type="character" w:styleId="10">
    <w:name w:val="HTML Definition"/>
    <w:basedOn w:val="7"/>
    <w:semiHidden/>
    <w:unhideWhenUsed/>
    <w:uiPriority w:val="99"/>
  </w:style>
  <w:style w:type="character" w:styleId="11">
    <w:name w:val="HTML Variable"/>
    <w:basedOn w:val="7"/>
    <w:semiHidden/>
    <w:unhideWhenUsed/>
    <w:uiPriority w:val="99"/>
  </w:style>
  <w:style w:type="character" w:styleId="12">
    <w:name w:val="Hyperlink"/>
    <w:basedOn w:val="7"/>
    <w:semiHidden/>
    <w:unhideWhenUsed/>
    <w:uiPriority w:val="99"/>
    <w:rPr>
      <w:color w:val="2B2B2B"/>
      <w:u w:val="none"/>
    </w:rPr>
  </w:style>
  <w:style w:type="character" w:styleId="13">
    <w:name w:val="HTML Code"/>
    <w:basedOn w:val="7"/>
    <w:semiHidden/>
    <w:unhideWhenUsed/>
    <w:uiPriority w:val="99"/>
    <w:rPr>
      <w:rFonts w:ascii="Courier New" w:hAnsi="Courier New"/>
      <w:sz w:val="20"/>
    </w:rPr>
  </w:style>
  <w:style w:type="character" w:styleId="14">
    <w:name w:val="HTML Cite"/>
    <w:basedOn w:val="7"/>
    <w:semiHidden/>
    <w:unhideWhenUsed/>
    <w:uiPriority w:val="99"/>
  </w:style>
  <w:style w:type="character" w:customStyle="1" w:styleId="16">
    <w:name w:val="批注框文本 Char"/>
    <w:basedOn w:val="7"/>
    <w:link w:val="3"/>
    <w:semiHidden/>
    <w:qFormat/>
    <w:locked/>
    <w:uiPriority w:val="99"/>
    <w:rPr>
      <w:rFonts w:cs="Times New Roman"/>
      <w:sz w:val="18"/>
      <w:szCs w:val="18"/>
    </w:rPr>
  </w:style>
  <w:style w:type="character" w:customStyle="1" w:styleId="17">
    <w:name w:val="页脚 Char"/>
    <w:basedOn w:val="7"/>
    <w:link w:val="4"/>
    <w:qFormat/>
    <w:locked/>
    <w:uiPriority w:val="99"/>
    <w:rPr>
      <w:rFonts w:cs="Times New Roman"/>
      <w:sz w:val="18"/>
      <w:szCs w:val="18"/>
    </w:rPr>
  </w:style>
  <w:style w:type="character" w:customStyle="1" w:styleId="18">
    <w:name w:val="页眉 Char"/>
    <w:basedOn w:val="7"/>
    <w:link w:val="5"/>
    <w:semiHidden/>
    <w:qFormat/>
    <w:locked/>
    <w:uiPriority w:val="99"/>
    <w:rPr>
      <w:rFonts w:cs="Times New Roman"/>
      <w:sz w:val="18"/>
      <w:szCs w:val="18"/>
    </w:rPr>
  </w:style>
  <w:style w:type="character" w:customStyle="1" w:styleId="19">
    <w:name w:val="文档结构图 Char"/>
    <w:basedOn w:val="7"/>
    <w:link w:val="2"/>
    <w:semiHidden/>
    <w:qFormat/>
    <w:locked/>
    <w:uiPriority w:val="99"/>
    <w:rPr>
      <w:rFonts w:ascii="宋体"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1184</Words>
  <Characters>6749</Characters>
  <Lines>56</Lines>
  <Paragraphs>15</Paragraphs>
  <TotalTime>3</TotalTime>
  <ScaleCrop>false</ScaleCrop>
  <LinksUpToDate>false</LinksUpToDate>
  <CharactersWithSpaces>7918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2017-08-08T07:15:00Z</dcterms:created>
  <dc:creator>zsc</dc:creator>
  <cp:lastModifiedBy>Administrator</cp:lastModifiedBy>
  <cp:lastPrinted>2019-01-30T08:34:00Z</cp:lastPrinted>
  <dcterms:modified xsi:type="dcterms:W3CDTF">2018-09-10T02:33:20Z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