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方正小标宋简体" w:asciiTheme="majorEastAsia" w:hAnsiTheme="majorEastAsia" w:eastAsiaTheme="majorEastAsia"/>
          <w:b/>
          <w:sz w:val="36"/>
          <w:szCs w:val="36"/>
        </w:rPr>
      </w:pPr>
      <w:r>
        <w:rPr>
          <w:rFonts w:hint="eastAsia" w:cs="方正小标宋简体" w:asciiTheme="majorEastAsia" w:hAnsiTheme="majorEastAsia" w:eastAsiaTheme="majorEastAsia"/>
          <w:b/>
          <w:sz w:val="36"/>
          <w:szCs w:val="36"/>
        </w:rPr>
        <w:t>饶阳县审计局</w:t>
      </w:r>
      <w:r>
        <w:rPr>
          <w:rFonts w:cs="方正小标宋简体" w:asciiTheme="majorEastAsia" w:hAnsiTheme="majorEastAsia" w:eastAsiaTheme="majorEastAsia"/>
          <w:b/>
          <w:sz w:val="36"/>
          <w:szCs w:val="36"/>
        </w:rPr>
        <w:t>201</w:t>
      </w:r>
      <w:r>
        <w:rPr>
          <w:rFonts w:hint="eastAsia" w:cs="方正小标宋简体" w:asciiTheme="majorEastAsia" w:hAnsiTheme="majorEastAsia" w:eastAsiaTheme="majorEastAsia"/>
          <w:b/>
          <w:sz w:val="36"/>
          <w:szCs w:val="36"/>
        </w:rPr>
        <w:t>9年部门预算信息公开</w:t>
      </w:r>
    </w:p>
    <w:p>
      <w:pPr>
        <w:ind w:firstLine="640" w:firstLineChars="200"/>
        <w:rPr>
          <w:rFonts w:ascii="仿宋_GB2312" w:hAnsi="楷体" w:cs="楷体"/>
          <w:bCs/>
        </w:rPr>
      </w:pPr>
      <w:r>
        <w:rPr>
          <w:rFonts w:hint="eastAsia" w:ascii="仿宋_GB2312" w:hAnsi="楷体" w:cs="楷体"/>
          <w:bCs/>
        </w:rPr>
        <w:t>按照《中华人民共和国预算法》、《中共河北省委办公厅河北省人民政府办公厅印发〈关于进一步推进预算公开工作的实施意见〉的通知》和《河北省预决算公开操作规程实施细则》规定。</w:t>
      </w:r>
      <w:r>
        <w:rPr>
          <w:rFonts w:ascii="仿宋_GB2312" w:hAnsi="楷体" w:cs="楷体"/>
          <w:bCs/>
        </w:rPr>
        <w:t>现将</w:t>
      </w:r>
      <w:r>
        <w:rPr>
          <w:rFonts w:hint="eastAsia" w:ascii="仿宋_GB2312" w:hAnsi="楷体" w:cs="楷体"/>
          <w:bCs/>
        </w:rPr>
        <w:t>饶阳县审计局20</w:t>
      </w:r>
      <w:r>
        <w:rPr>
          <w:rFonts w:ascii="仿宋_GB2312" w:hAnsi="楷体" w:cs="楷体"/>
          <w:bCs/>
        </w:rPr>
        <w:t>1</w:t>
      </w:r>
      <w:r>
        <w:rPr>
          <w:rFonts w:hint="eastAsia" w:ascii="仿宋_GB2312" w:hAnsi="楷体" w:cs="楷体"/>
          <w:bCs/>
        </w:rPr>
        <w:t>9</w:t>
      </w:r>
      <w:r>
        <w:rPr>
          <w:rFonts w:ascii="仿宋_GB2312" w:hAnsi="楷体" w:cs="楷体"/>
          <w:bCs/>
        </w:rPr>
        <w:t>年部门预算公开如下</w:t>
      </w:r>
      <w:r>
        <w:rPr>
          <w:rFonts w:hint="eastAsia" w:ascii="仿宋_GB2312" w:hAnsi="楷体" w:cs="楷体"/>
          <w:bCs/>
        </w:rPr>
        <w:t>:</w:t>
      </w:r>
    </w:p>
    <w:p>
      <w:pPr>
        <w:ind w:firstLine="643" w:firstLineChars="200"/>
        <w:rPr>
          <w:rFonts w:ascii="仿宋_GB2312" w:hAnsi="楷体" w:cs="Times New Roman"/>
          <w:b/>
          <w:bCs/>
        </w:rPr>
      </w:pPr>
      <w:r>
        <w:rPr>
          <w:rFonts w:hint="eastAsia" w:ascii="仿宋_GB2312" w:hAnsi="楷体" w:cs="楷体"/>
          <w:b/>
          <w:bCs/>
        </w:rPr>
        <w:t xml:space="preserve">（一）饶阳县审计局2019年部门预算信息公开 </w:t>
      </w:r>
    </w:p>
    <w:p>
      <w:pPr>
        <w:ind w:firstLine="643" w:firstLineChars="200"/>
        <w:rPr>
          <w:rFonts w:ascii="仿宋_GB2312" w:cs="Times New Roman"/>
          <w:b/>
          <w:bCs/>
        </w:rPr>
      </w:pPr>
      <w:r>
        <w:rPr>
          <w:rFonts w:hint="eastAsia" w:ascii="仿宋_GB2312"/>
          <w:b/>
          <w:bCs/>
        </w:rPr>
        <w:t>1</w:t>
      </w:r>
      <w:r>
        <w:rPr>
          <w:rFonts w:hint="eastAsia" w:ascii="仿宋_GB2312" w:cs="仿宋_GB2312"/>
          <w:b/>
          <w:bCs/>
        </w:rPr>
        <w:t>、部门职责及机构设置情况</w:t>
      </w:r>
    </w:p>
    <w:p>
      <w:pPr>
        <w:ind w:firstLine="643" w:firstLineChars="200"/>
        <w:rPr>
          <w:rFonts w:ascii="仿宋_GB2312" w:cs="仿宋_GB2312"/>
          <w:b/>
          <w:bCs/>
        </w:rPr>
      </w:pPr>
      <w:r>
        <w:rPr>
          <w:rFonts w:hint="eastAsia" w:ascii="仿宋_GB2312" w:cs="仿宋_GB2312"/>
          <w:b/>
          <w:bCs/>
        </w:rPr>
        <w:t>部门职责</w:t>
      </w:r>
    </w:p>
    <w:p>
      <w:pPr>
        <w:ind w:firstLine="640" w:firstLineChars="200"/>
        <w:rPr>
          <w:rFonts w:hint="eastAsia" w:ascii="仿宋" w:hAnsi="仿宋" w:eastAsia="仿宋" w:cs="Times New Roman"/>
          <w:lang w:eastAsia="zh-CN"/>
        </w:rPr>
      </w:pPr>
      <w:r>
        <w:rPr>
          <w:rFonts w:hint="eastAsia" w:ascii="仿宋" w:hAnsi="仿宋" w:eastAsia="仿宋" w:cs="Times New Roman"/>
        </w:rPr>
        <w:t>饶阳县审计局</w:t>
      </w:r>
      <w:r>
        <w:rPr>
          <w:rFonts w:hint="eastAsia" w:ascii="仿宋" w:hAnsi="仿宋" w:eastAsia="仿宋" w:cs="Times New Roman"/>
          <w:lang w:eastAsia="zh-CN"/>
        </w:rPr>
        <w:t>是</w:t>
      </w:r>
      <w:r>
        <w:rPr>
          <w:rFonts w:hint="eastAsia" w:ascii="仿宋" w:hAnsi="仿宋" w:eastAsia="仿宋" w:cs="Times New Roman"/>
        </w:rPr>
        <w:t>政府行政机构</w:t>
      </w:r>
      <w:r>
        <w:rPr>
          <w:rFonts w:hint="eastAsia" w:ascii="仿宋" w:hAnsi="仿宋" w:eastAsia="仿宋" w:cs="Times New Roman"/>
          <w:lang w:eastAsia="zh-CN"/>
        </w:rPr>
        <w:t>，部门职责如下：</w:t>
      </w:r>
    </w:p>
    <w:p>
      <w:pPr>
        <w:spacing w:line="360" w:lineRule="auto"/>
        <w:ind w:firstLine="560"/>
        <w:rPr>
          <w:rFonts w:ascii="仿宋" w:hAnsi="仿宋" w:eastAsia="仿宋"/>
        </w:rPr>
      </w:pPr>
      <w:r>
        <w:rPr>
          <w:rFonts w:hint="eastAsia" w:ascii="仿宋" w:hAnsi="仿宋" w:eastAsia="仿宋"/>
        </w:rPr>
        <w:t>（一）组织领导、协调监督审计机关的业务，编制审计工作规划，确定年度工作重点；</w:t>
      </w:r>
    </w:p>
    <w:p>
      <w:pPr>
        <w:spacing w:line="360" w:lineRule="auto"/>
        <w:ind w:firstLine="560"/>
        <w:rPr>
          <w:rFonts w:ascii="仿宋" w:hAnsi="仿宋" w:eastAsia="仿宋"/>
        </w:rPr>
      </w:pPr>
      <w:r>
        <w:rPr>
          <w:rFonts w:hint="eastAsia" w:ascii="仿宋" w:hAnsi="仿宋" w:eastAsia="仿宋"/>
        </w:rPr>
        <w:t>（二）向县政府报告审计情况，提出制定和完善有关政策法规、工作措施的建议。</w:t>
      </w:r>
    </w:p>
    <w:p>
      <w:pPr>
        <w:spacing w:line="360" w:lineRule="auto"/>
        <w:ind w:firstLine="560"/>
        <w:rPr>
          <w:rFonts w:ascii="仿宋" w:hAnsi="仿宋" w:eastAsia="仿宋"/>
        </w:rPr>
      </w:pPr>
      <w:r>
        <w:rPr>
          <w:rFonts w:hint="eastAsia" w:ascii="仿宋" w:hAnsi="仿宋" w:eastAsia="仿宋"/>
        </w:rPr>
        <w:t>（三）依据《中华人民共和国审计法》规定的直接审计事项及其他法律法规规定的审计事项。</w:t>
      </w:r>
    </w:p>
    <w:p>
      <w:pPr>
        <w:spacing w:line="360" w:lineRule="auto"/>
        <w:ind w:firstLine="560"/>
        <w:rPr>
          <w:rFonts w:ascii="仿宋" w:hAnsi="仿宋" w:eastAsia="仿宋"/>
        </w:rPr>
      </w:pPr>
      <w:r>
        <w:rPr>
          <w:rFonts w:hint="eastAsia" w:ascii="仿宋" w:hAnsi="仿宋" w:eastAsia="仿宋"/>
        </w:rPr>
        <w:t>（四）审计监督县本级预算执行情况和其他财政收支，向政府提交预算执行情况的审计结果报告，受县政府委托向县人大常委会提出预算执行情况和其他财政收支审计工作报告。</w:t>
      </w:r>
    </w:p>
    <w:p>
      <w:pPr>
        <w:spacing w:line="360" w:lineRule="auto"/>
        <w:ind w:firstLine="560"/>
        <w:rPr>
          <w:rFonts w:ascii="仿宋" w:hAnsi="仿宋" w:eastAsia="仿宋"/>
        </w:rPr>
      </w:pPr>
      <w:r>
        <w:rPr>
          <w:rFonts w:hint="eastAsia" w:ascii="仿宋" w:hAnsi="仿宋" w:eastAsia="仿宋"/>
        </w:rPr>
        <w:t>（五）组织实施对贯彻执行国家财经方针政策和宏观调控措施情况的行业审计、专项审计和审计调查；参加对国有金融机构、非银行金融机构资产、负债和损益状况的审计监督。</w:t>
      </w:r>
    </w:p>
    <w:p>
      <w:pPr>
        <w:spacing w:line="360" w:lineRule="auto"/>
        <w:ind w:firstLine="560"/>
        <w:rPr>
          <w:rFonts w:ascii="仿宋" w:hAnsi="仿宋" w:eastAsia="仿宋"/>
        </w:rPr>
      </w:pPr>
      <w:r>
        <w:rPr>
          <w:rFonts w:hint="eastAsia" w:ascii="仿宋" w:hAnsi="仿宋" w:eastAsia="仿宋"/>
        </w:rPr>
        <w:t>（六）组织实施对科局级以下党政领导干部和国有及国有控股企业领导人进行任期经济责任审计。</w:t>
      </w:r>
    </w:p>
    <w:p>
      <w:pPr>
        <w:spacing w:line="360" w:lineRule="auto"/>
        <w:ind w:firstLine="560"/>
        <w:rPr>
          <w:rFonts w:ascii="仿宋" w:hAnsi="仿宋" w:eastAsia="仿宋"/>
        </w:rPr>
      </w:pPr>
      <w:r>
        <w:rPr>
          <w:rFonts w:hint="eastAsia" w:ascii="仿宋" w:hAnsi="仿宋" w:eastAsia="仿宋"/>
        </w:rPr>
        <w:t>（七）组织实施对内部审计的指导与监督；组织审计专业培训。</w:t>
      </w:r>
    </w:p>
    <w:p>
      <w:pPr>
        <w:spacing w:line="360" w:lineRule="auto"/>
        <w:ind w:firstLine="560"/>
        <w:rPr>
          <w:rFonts w:ascii="仿宋" w:hAnsi="仿宋" w:eastAsia="仿宋"/>
        </w:rPr>
      </w:pPr>
      <w:r>
        <w:rPr>
          <w:rFonts w:hint="eastAsia" w:ascii="仿宋" w:hAnsi="仿宋" w:eastAsia="仿宋"/>
        </w:rPr>
        <w:t>（八）承办县政府和上级审计机关交办的其他事项。</w:t>
      </w:r>
    </w:p>
    <w:p>
      <w:pPr>
        <w:spacing w:line="540" w:lineRule="exact"/>
        <w:ind w:firstLine="643" w:firstLineChars="200"/>
        <w:jc w:val="left"/>
        <w:outlineLvl w:val="1"/>
        <w:rPr>
          <w:rFonts w:ascii="仿宋_GB2312" w:hAnsi="宋体"/>
          <w:b/>
        </w:rPr>
      </w:pPr>
    </w:p>
    <w:p>
      <w:pPr>
        <w:ind w:firstLine="643" w:firstLineChars="200"/>
        <w:rPr>
          <w:rFonts w:ascii="仿宋_GB2312" w:cs="仿宋_GB2312"/>
          <w:b/>
          <w:bCs/>
        </w:rPr>
      </w:pPr>
      <w:r>
        <w:rPr>
          <w:rFonts w:hint="eastAsia" w:ascii="仿宋_GB2312" w:cs="仿宋_GB2312"/>
          <w:b/>
          <w:bCs/>
        </w:rPr>
        <w:t>机构设置情况</w:t>
      </w:r>
    </w:p>
    <w:p>
      <w:pPr>
        <w:jc w:val="center"/>
        <w:outlineLvl w:val="0"/>
        <w:rPr>
          <w:rFonts w:ascii="方正小标宋_GBK" w:eastAsia="方正小标宋_GBK"/>
        </w:rPr>
      </w:pPr>
      <w:bookmarkStart w:id="0" w:name="_Toc508098008"/>
      <w:r>
        <w:rPr>
          <w:rFonts w:hint="eastAsia" w:ascii="方正小标宋_GBK" w:eastAsia="方正小标宋_GBK"/>
        </w:rPr>
        <w:t>部门基本情况表</w:t>
      </w:r>
      <w:bookmarkEnd w:id="0"/>
    </w:p>
    <w:tbl>
      <w:tblPr>
        <w:tblStyle w:val="7"/>
        <w:tblW w:w="142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7"/>
        <w:gridCol w:w="1134"/>
        <w:gridCol w:w="1276"/>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00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319饶阳县审计局</w:t>
            </w:r>
          </w:p>
        </w:tc>
        <w:tc>
          <w:tcPr>
            <w:tcW w:w="425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382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35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车辆编制数</w:t>
            </w:r>
          </w:p>
        </w:tc>
        <w:tc>
          <w:tcPr>
            <w:tcW w:w="14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14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2127" w:type="dxa"/>
            <w:gridSpan w:val="3"/>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3827" w:type="dxa"/>
            <w:vMerge w:val="continue"/>
            <w:shd w:val="clear" w:color="auto" w:fill="auto"/>
            <w:vAlign w:val="center"/>
          </w:tcPr>
          <w:p>
            <w:pPr>
              <w:spacing w:line="300" w:lineRule="exact"/>
              <w:jc w:val="left"/>
              <w:outlineLvl w:val="0"/>
            </w:pPr>
          </w:p>
        </w:tc>
        <w:tc>
          <w:tcPr>
            <w:tcW w:w="1134"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353" w:type="dxa"/>
            <w:vMerge w:val="continue"/>
            <w:shd w:val="clear" w:color="auto" w:fill="auto"/>
            <w:vAlign w:val="center"/>
          </w:tcPr>
          <w:p>
            <w:pPr>
              <w:spacing w:line="300" w:lineRule="exact"/>
              <w:jc w:val="left"/>
              <w:outlineLvl w:val="0"/>
            </w:pPr>
          </w:p>
        </w:tc>
        <w:tc>
          <w:tcPr>
            <w:tcW w:w="709" w:type="dxa"/>
            <w:vMerge w:val="continue"/>
            <w:shd w:val="clear" w:color="auto" w:fill="auto"/>
            <w:vAlign w:val="center"/>
          </w:tcPr>
          <w:p>
            <w:pPr>
              <w:spacing w:line="300" w:lineRule="exact"/>
              <w:jc w:val="left"/>
              <w:outlineLvl w:val="0"/>
            </w:pP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center"/>
              <w:rPr>
                <w:rFonts w:ascii="方正书宋_GBK" w:eastAsia="方正书宋_GBK"/>
                <w:b/>
              </w:rPr>
            </w:pPr>
          </w:p>
        </w:tc>
        <w:tc>
          <w:tcPr>
            <w:tcW w:w="1276" w:type="dxa"/>
            <w:shd w:val="clear" w:color="auto" w:fill="auto"/>
            <w:vAlign w:val="center"/>
          </w:tcPr>
          <w:p>
            <w:pPr>
              <w:spacing w:line="300" w:lineRule="exact"/>
              <w:jc w:val="center"/>
              <w:rPr>
                <w:rFonts w:ascii="方正书宋_GBK" w:eastAsia="方正书宋_GBK"/>
                <w:b/>
              </w:rPr>
            </w:pPr>
          </w:p>
        </w:tc>
        <w:tc>
          <w:tcPr>
            <w:tcW w:w="2353" w:type="dxa"/>
            <w:shd w:val="clear" w:color="auto" w:fill="auto"/>
            <w:vAlign w:val="center"/>
          </w:tcPr>
          <w:p>
            <w:pPr>
              <w:spacing w:line="300" w:lineRule="exact"/>
              <w:jc w:val="center"/>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饶阳县审计局</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35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sz w:val="18"/>
                <w:szCs w:val="18"/>
              </w:rPr>
              <w:t>财政拨款</w:t>
            </w: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14</w:t>
            </w: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17</w:t>
            </w: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w:t>
            </w:r>
          </w:p>
        </w:tc>
        <w:tc>
          <w:tcPr>
            <w:tcW w:w="709"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ascii="方正书宋_GBK" w:eastAsia="方正书宋_GBK"/>
                <w:highlight w:val="red"/>
              </w:rPr>
            </w:pPr>
            <w:r>
              <w:rPr>
                <w:rFonts w:hint="eastAsia" w:ascii="方正书宋_GBK" w:eastAsia="方正书宋_GBK"/>
              </w:rPr>
              <w:t>饶阳县审计局事业</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35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sz w:val="18"/>
                <w:szCs w:val="18"/>
              </w:rPr>
              <w:t>财政性资金基本保证</w:t>
            </w: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w:t>
            </w: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4</w:t>
            </w: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ascii="方正书宋_GBK" w:eastAsia="方正书宋_GBK"/>
                <w:highlight w:val="red"/>
              </w:rPr>
            </w:pPr>
          </w:p>
        </w:tc>
        <w:tc>
          <w:tcPr>
            <w:tcW w:w="1134" w:type="dxa"/>
            <w:shd w:val="clear" w:color="auto" w:fill="auto"/>
            <w:vAlign w:val="center"/>
          </w:tcPr>
          <w:p>
            <w:pPr>
              <w:spacing w:line="300" w:lineRule="exact"/>
              <w:jc w:val="center"/>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rPr>
            </w:pPr>
          </w:p>
        </w:tc>
        <w:tc>
          <w:tcPr>
            <w:tcW w:w="2353"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ascii="方正书宋_GBK" w:eastAsia="方正书宋_GBK"/>
                <w:highlight w:val="red"/>
              </w:rPr>
            </w:pPr>
          </w:p>
        </w:tc>
        <w:tc>
          <w:tcPr>
            <w:tcW w:w="1134" w:type="dxa"/>
            <w:shd w:val="clear" w:color="auto" w:fill="auto"/>
            <w:vAlign w:val="center"/>
          </w:tcPr>
          <w:p>
            <w:pPr>
              <w:spacing w:line="300" w:lineRule="exact"/>
              <w:jc w:val="center"/>
              <w:rPr>
                <w:rFonts w:ascii="方正书宋_GBK" w:eastAsia="方正书宋_GBK"/>
              </w:rPr>
            </w:pPr>
          </w:p>
        </w:tc>
        <w:tc>
          <w:tcPr>
            <w:tcW w:w="1276" w:type="dxa"/>
            <w:shd w:val="clear" w:color="auto" w:fill="auto"/>
            <w:vAlign w:val="center"/>
          </w:tcPr>
          <w:p>
            <w:pPr>
              <w:spacing w:line="300" w:lineRule="exact"/>
              <w:jc w:val="center"/>
              <w:rPr>
                <w:rFonts w:ascii="方正书宋_GBK" w:eastAsia="方正书宋_GBK"/>
              </w:rPr>
            </w:pPr>
          </w:p>
        </w:tc>
        <w:tc>
          <w:tcPr>
            <w:tcW w:w="2353"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ind w:firstLine="643" w:firstLineChars="200"/>
        <w:rPr>
          <w:rFonts w:ascii="仿宋_GB2312" w:cs="仿宋_GB2312"/>
          <w:b/>
          <w:bCs/>
        </w:rPr>
      </w:pPr>
    </w:p>
    <w:p>
      <w:pPr>
        <w:ind w:firstLine="643" w:firstLineChars="200"/>
        <w:rPr>
          <w:rFonts w:cs="Times New Roman"/>
          <w:b/>
          <w:bCs/>
        </w:rPr>
      </w:pPr>
    </w:p>
    <w:p>
      <w:pPr>
        <w:spacing w:line="360" w:lineRule="auto"/>
        <w:ind w:firstLine="640" w:firstLineChars="200"/>
        <w:rPr>
          <w:rFonts w:ascii="仿宋" w:hAnsi="仿宋" w:eastAsia="仿宋"/>
        </w:rPr>
      </w:pPr>
      <w:r>
        <w:rPr>
          <w:rFonts w:hint="eastAsia" w:ascii="仿宋" w:hAnsi="仿宋" w:eastAsia="仿宋"/>
        </w:rPr>
        <w:t>饶阳县审计局共内设８个股室分别是：</w:t>
      </w:r>
    </w:p>
    <w:p>
      <w:pPr>
        <w:spacing w:line="360" w:lineRule="auto"/>
        <w:ind w:firstLine="640" w:firstLineChars="200"/>
        <w:rPr>
          <w:rFonts w:ascii="仿宋" w:hAnsi="仿宋" w:eastAsia="仿宋"/>
        </w:rPr>
      </w:pPr>
      <w:r>
        <w:rPr>
          <w:rFonts w:hint="eastAsia" w:ascii="仿宋" w:hAnsi="仿宋" w:eastAsia="仿宋"/>
        </w:rPr>
        <w:t>（一）办公室：负责人事、文件收发、档案管理、机关财务、行政事务，协助局长掌握全面业务进度，安排好全局性业务会议，做好机关日常性工作。</w:t>
      </w:r>
    </w:p>
    <w:p>
      <w:pPr>
        <w:spacing w:line="360" w:lineRule="auto"/>
        <w:ind w:firstLine="640" w:firstLineChars="200"/>
        <w:rPr>
          <w:rFonts w:ascii="仿宋" w:hAnsi="仿宋" w:eastAsia="仿宋"/>
        </w:rPr>
      </w:pPr>
      <w:r>
        <w:rPr>
          <w:rFonts w:hint="eastAsia" w:ascii="仿宋" w:hAnsi="仿宋" w:eastAsia="仿宋"/>
        </w:rPr>
        <w:t>（二）农业综合法制股：负责全局的法制、教育培训、审计案卷的审理复核、综合、统计、文字、简报、信息等工作。</w:t>
      </w:r>
    </w:p>
    <w:p>
      <w:pPr>
        <w:spacing w:line="360" w:lineRule="auto"/>
        <w:ind w:firstLine="640" w:firstLineChars="200"/>
        <w:rPr>
          <w:rFonts w:ascii="仿宋" w:hAnsi="仿宋" w:eastAsia="仿宋"/>
        </w:rPr>
      </w:pPr>
      <w:r>
        <w:rPr>
          <w:rFonts w:hint="eastAsia" w:ascii="仿宋" w:hAnsi="仿宋" w:eastAsia="仿宋"/>
        </w:rPr>
        <w:t>（三）财政金融审计股：负责对全县财政、税务和金融机构的财务活动进行审计监督，并搞好审计成果运用。</w:t>
      </w:r>
    </w:p>
    <w:p>
      <w:pPr>
        <w:spacing w:line="360" w:lineRule="auto"/>
        <w:ind w:firstLine="640" w:firstLineChars="200"/>
        <w:rPr>
          <w:rFonts w:ascii="仿宋" w:hAnsi="仿宋" w:eastAsia="仿宋"/>
        </w:rPr>
      </w:pPr>
      <w:r>
        <w:rPr>
          <w:rFonts w:hint="eastAsia" w:ascii="仿宋" w:hAnsi="仿宋" w:eastAsia="仿宋"/>
        </w:rPr>
        <w:t>（四）行政事业审计股：负责对全县行政事业单位、社会保障机构的财务活动进行审计监督，并搞好审计成果运用。</w:t>
      </w:r>
    </w:p>
    <w:p>
      <w:pPr>
        <w:spacing w:line="360" w:lineRule="auto"/>
        <w:ind w:firstLine="640" w:firstLineChars="200"/>
        <w:rPr>
          <w:rFonts w:ascii="仿宋" w:hAnsi="仿宋" w:eastAsia="仿宋"/>
        </w:rPr>
      </w:pPr>
      <w:r>
        <w:rPr>
          <w:rFonts w:hint="eastAsia" w:ascii="仿宋" w:hAnsi="仿宋" w:eastAsia="仿宋"/>
        </w:rPr>
        <w:t>（五）经贸审计股：负责对全县工业、商业、供销、粮油、外贸、石油、物资、交通、医药、烟草、电力系统等企业的财务收支、经济运行、经济效益进行审计监督，并搞好审计成果运用。</w:t>
      </w:r>
    </w:p>
    <w:p>
      <w:pPr>
        <w:spacing w:line="360" w:lineRule="auto"/>
        <w:ind w:firstLine="640" w:firstLineChars="200"/>
        <w:rPr>
          <w:rFonts w:ascii="仿宋" w:hAnsi="仿宋" w:eastAsia="仿宋"/>
        </w:rPr>
      </w:pPr>
      <w:r>
        <w:rPr>
          <w:rFonts w:hint="eastAsia" w:ascii="仿宋" w:hAnsi="仿宋" w:eastAsia="仿宋"/>
        </w:rPr>
        <w:t>（六）社保外资审计股：负责全县农业单位及利用外资单位的审计监督，并搞好审计成果运用。</w:t>
      </w:r>
    </w:p>
    <w:p>
      <w:pPr>
        <w:spacing w:line="360" w:lineRule="auto"/>
        <w:ind w:firstLine="640" w:firstLineChars="200"/>
        <w:rPr>
          <w:rFonts w:ascii="仿宋" w:hAnsi="仿宋" w:eastAsia="仿宋"/>
        </w:rPr>
      </w:pPr>
      <w:r>
        <w:rPr>
          <w:rFonts w:hint="eastAsia" w:ascii="仿宋" w:hAnsi="仿宋" w:eastAsia="仿宋"/>
        </w:rPr>
        <w:t>（七）经济责任审计办公室：负责对全县行政主要领导干部及厂矿等企业经理、厂长的任期经济责任进行审计监督，并搞好审计成果运用。</w:t>
      </w:r>
    </w:p>
    <w:p>
      <w:pPr>
        <w:spacing w:line="360" w:lineRule="auto"/>
        <w:ind w:firstLine="640" w:firstLineChars="200"/>
        <w:rPr>
          <w:rFonts w:ascii="仿宋" w:hAnsi="仿宋" w:eastAsia="仿宋"/>
        </w:rPr>
      </w:pPr>
      <w:r>
        <w:rPr>
          <w:rFonts w:hint="eastAsia" w:ascii="仿宋" w:hAnsi="仿宋" w:eastAsia="仿宋"/>
        </w:rPr>
        <w:t>（八）基建审计中心：负责对全县基建预决算及基建单位的财务收支进行审计监督，并搞好审计成果运用。</w:t>
      </w:r>
    </w:p>
    <w:p>
      <w:pPr>
        <w:ind w:firstLine="643" w:firstLineChars="200"/>
        <w:rPr>
          <w:rFonts w:ascii="仿宋_GB2312" w:cs="Times New Roman"/>
          <w:b/>
          <w:bCs/>
        </w:rPr>
      </w:pPr>
      <w:r>
        <w:rPr>
          <w:rFonts w:hint="eastAsia" w:ascii="仿宋_GB2312"/>
          <w:b/>
          <w:bCs/>
        </w:rPr>
        <w:t>2</w:t>
      </w:r>
      <w:r>
        <w:rPr>
          <w:rFonts w:hint="eastAsia" w:ascii="仿宋_GB2312" w:cs="仿宋_GB2312"/>
          <w:b/>
          <w:bCs/>
        </w:rPr>
        <w:t>、部门预算安排的总体情况</w:t>
      </w:r>
    </w:p>
    <w:p>
      <w:pPr>
        <w:ind w:firstLine="640" w:firstLineChars="200"/>
        <w:rPr>
          <w:rFonts w:ascii="仿宋_GB2312" w:cs="Times New Roman"/>
        </w:rPr>
      </w:pPr>
      <w:r>
        <w:rPr>
          <w:rFonts w:hint="eastAsia" w:ascii="仿宋_GB2312" w:cs="仿宋_GB2312"/>
        </w:rPr>
        <w:t>按照《预算法》等有关预算管理规定，我县县级部门预算实行综合预算管理，机关（及所属事业单位）的收支全部包含在部门预算中。</w:t>
      </w:r>
    </w:p>
    <w:p>
      <w:pPr>
        <w:ind w:firstLine="640" w:firstLineChars="200"/>
        <w:rPr>
          <w:rFonts w:ascii="仿宋_GB2312" w:cs="Times New Roman"/>
        </w:rPr>
      </w:pPr>
      <w:r>
        <w:rPr>
          <w:rFonts w:hint="eastAsia" w:ascii="仿宋_GB2312" w:cs="仿宋_GB2312"/>
        </w:rPr>
        <w:t>（</w:t>
      </w:r>
      <w:r>
        <w:rPr>
          <w:rFonts w:hint="eastAsia" w:ascii="仿宋_GB2312"/>
        </w:rPr>
        <w:t>1</w:t>
      </w:r>
      <w:r>
        <w:rPr>
          <w:rFonts w:hint="eastAsia" w:ascii="仿宋_GB2312" w:cs="仿宋_GB2312"/>
        </w:rPr>
        <w:t>）收入说明</w:t>
      </w:r>
    </w:p>
    <w:p>
      <w:pPr>
        <w:ind w:firstLine="640" w:firstLineChars="200"/>
        <w:rPr>
          <w:rFonts w:ascii="仿宋_GB2312" w:cs="仿宋_GB2312"/>
        </w:rPr>
      </w:pPr>
      <w:r>
        <w:rPr>
          <w:rFonts w:hint="eastAsia" w:ascii="仿宋_GB2312" w:cs="仿宋_GB2312"/>
        </w:rPr>
        <w:t>反映本部门当年收入。</w:t>
      </w:r>
      <w:r>
        <w:rPr>
          <w:rFonts w:hint="eastAsia" w:ascii="仿宋_GB2312"/>
        </w:rPr>
        <w:t>2019</w:t>
      </w:r>
      <w:r>
        <w:rPr>
          <w:rFonts w:hint="eastAsia" w:ascii="仿宋_GB2312" w:cs="仿宋_GB2312"/>
        </w:rPr>
        <w:t>年预算收入</w:t>
      </w:r>
      <w:r>
        <w:rPr>
          <w:rFonts w:hint="eastAsia" w:ascii="仿宋_GB2312" w:cs="方正书宋_GBK"/>
        </w:rPr>
        <w:t>294.95</w:t>
      </w:r>
      <w:r>
        <w:rPr>
          <w:rFonts w:hint="eastAsia" w:ascii="仿宋_GB2312" w:cs="仿宋_GB2312"/>
        </w:rPr>
        <w:t>万元，其中：一般公共预算收入</w:t>
      </w:r>
      <w:r>
        <w:rPr>
          <w:rFonts w:hint="eastAsia" w:ascii="仿宋_GB2312" w:cs="方正书宋_GBK"/>
        </w:rPr>
        <w:t>294.95</w:t>
      </w:r>
      <w:r>
        <w:rPr>
          <w:rFonts w:hint="eastAsia" w:ascii="仿宋_GB2312" w:cs="仿宋_GB2312"/>
        </w:rPr>
        <w:t>万元，政府性基金预算收入</w:t>
      </w:r>
      <w:r>
        <w:rPr>
          <w:rFonts w:hint="eastAsia" w:ascii="仿宋_GB2312"/>
        </w:rPr>
        <w:t>0</w:t>
      </w:r>
      <w:r>
        <w:rPr>
          <w:rFonts w:hint="eastAsia" w:ascii="仿宋_GB2312" w:cs="仿宋_GB2312"/>
        </w:rPr>
        <w:t>万元，财政专户收入</w:t>
      </w:r>
      <w:r>
        <w:rPr>
          <w:rFonts w:hint="eastAsia" w:ascii="仿宋_GB2312"/>
        </w:rPr>
        <w:t>0</w:t>
      </w:r>
      <w:r>
        <w:rPr>
          <w:rFonts w:hint="eastAsia" w:ascii="仿宋_GB2312" w:cs="仿宋_GB2312"/>
        </w:rPr>
        <w:t>万元，事业收入</w:t>
      </w:r>
      <w:r>
        <w:rPr>
          <w:rFonts w:hint="eastAsia" w:ascii="仿宋_GB2312"/>
        </w:rPr>
        <w:t>0</w:t>
      </w:r>
      <w:r>
        <w:rPr>
          <w:rFonts w:hint="eastAsia" w:ascii="仿宋_GB2312" w:cs="仿宋_GB2312"/>
        </w:rPr>
        <w:t>万元，其他收入</w:t>
      </w:r>
      <w:r>
        <w:rPr>
          <w:rFonts w:hint="eastAsia" w:ascii="仿宋_GB2312"/>
        </w:rPr>
        <w:t>0</w:t>
      </w:r>
      <w:r>
        <w:rPr>
          <w:rFonts w:hint="eastAsia" w:ascii="仿宋_GB2312" w:cs="仿宋_GB2312"/>
        </w:rPr>
        <w:t>万元。</w:t>
      </w:r>
      <w:r>
        <w:rPr>
          <w:rFonts w:hint="eastAsia" w:ascii="仿宋_GB2312"/>
        </w:rPr>
        <w:t>2018</w:t>
      </w:r>
      <w:r>
        <w:rPr>
          <w:rFonts w:hint="eastAsia" w:ascii="仿宋_GB2312" w:cs="仿宋_GB2312"/>
        </w:rPr>
        <w:t>年预算收入</w:t>
      </w:r>
      <w:r>
        <w:rPr>
          <w:rFonts w:hint="eastAsia" w:ascii="Times New Roman" w:hAnsi="Times New Roman" w:eastAsia="仿宋" w:cs="Times New Roman"/>
        </w:rPr>
        <w:t>312.70</w:t>
      </w:r>
      <w:r>
        <w:rPr>
          <w:rFonts w:hint="eastAsia" w:ascii="仿宋_GB2312" w:cs="仿宋_GB2312"/>
        </w:rPr>
        <w:t>万元，其中：一般公共预算收入</w:t>
      </w:r>
      <w:r>
        <w:rPr>
          <w:rFonts w:hint="eastAsia" w:ascii="Times New Roman" w:hAnsi="Times New Roman" w:eastAsia="仿宋" w:cs="Times New Roman"/>
        </w:rPr>
        <w:t>312.70</w:t>
      </w:r>
      <w:r>
        <w:rPr>
          <w:rFonts w:hint="eastAsia" w:ascii="仿宋_GB2312" w:cs="仿宋_GB2312"/>
        </w:rPr>
        <w:t>万元，2019年比2018年减少17.75万元，</w:t>
      </w:r>
      <w:r>
        <w:rPr>
          <w:rFonts w:hint="eastAsia" w:ascii="仿宋_GB2312" w:cs="仿宋_GB2312"/>
          <w:lang w:eastAsia="zh-CN"/>
        </w:rPr>
        <w:t>下降</w:t>
      </w:r>
      <w:r>
        <w:rPr>
          <w:rFonts w:hint="eastAsia" w:ascii="仿宋_GB2312" w:cs="仿宋_GB2312"/>
          <w:lang w:val="en-US" w:eastAsia="zh-CN"/>
        </w:rPr>
        <w:t>5.68</w:t>
      </w:r>
      <w:r>
        <w:rPr>
          <w:rFonts w:hint="eastAsia" w:ascii="仿宋_GB2312" w:cs="仿宋_GB2312"/>
        </w:rPr>
        <w:t>%，</w:t>
      </w:r>
      <w:r>
        <w:rPr>
          <w:rFonts w:hint="eastAsia" w:ascii="仿宋_GB2312" w:hAnsi="仿宋" w:cs="宋体"/>
          <w:color w:val="000000"/>
        </w:rPr>
        <w:t>主要</w:t>
      </w:r>
      <w:r>
        <w:rPr>
          <w:rFonts w:hint="eastAsia" w:ascii="仿宋_GB2312" w:hAnsi="仿宋"/>
        </w:rPr>
        <w:t>原因是项目类</w:t>
      </w:r>
      <w:r>
        <w:rPr>
          <w:rFonts w:hint="eastAsia" w:ascii="仿宋_GB2312"/>
        </w:rPr>
        <w:t>劳务费</w:t>
      </w:r>
      <w:r>
        <w:rPr>
          <w:rFonts w:hint="eastAsia" w:ascii="仿宋_GB2312" w:hAnsi="仿宋"/>
        </w:rPr>
        <w:t>支出减少。</w:t>
      </w:r>
    </w:p>
    <w:p>
      <w:pPr>
        <w:ind w:firstLine="640" w:firstLineChars="200"/>
        <w:rPr>
          <w:rFonts w:ascii="仿宋_GB2312" w:cs="Times New Roman"/>
        </w:rPr>
      </w:pPr>
      <w:r>
        <w:rPr>
          <w:rFonts w:hint="eastAsia" w:ascii="仿宋_GB2312" w:cs="仿宋_GB2312"/>
        </w:rPr>
        <w:t>（</w:t>
      </w:r>
      <w:r>
        <w:rPr>
          <w:rFonts w:hint="eastAsia" w:ascii="仿宋_GB2312"/>
        </w:rPr>
        <w:t>2</w:t>
      </w:r>
      <w:r>
        <w:rPr>
          <w:rFonts w:hint="eastAsia" w:ascii="仿宋_GB2312" w:cs="仿宋_GB2312"/>
        </w:rPr>
        <w:t>）支出说明</w:t>
      </w:r>
    </w:p>
    <w:p>
      <w:pPr>
        <w:ind w:firstLine="640" w:firstLineChars="200"/>
        <w:rPr>
          <w:rFonts w:ascii="仿宋_GB2312" w:cs="Times New Roman"/>
        </w:rPr>
      </w:pPr>
      <w:r>
        <w:rPr>
          <w:rFonts w:hint="eastAsia" w:ascii="仿宋_GB2312" w:cs="仿宋_GB2312"/>
        </w:rPr>
        <w:t>收支预算总表支出栏、基本支出表、项目支出表按经济分类和功能分类科目编制，反映饶阳县审计局年度部门预算中支出的总体情况。2019年部门预算支出</w:t>
      </w:r>
      <w:r>
        <w:rPr>
          <w:rFonts w:hint="eastAsia" w:ascii="仿宋_GB2312" w:cs="方正书宋_GBK"/>
        </w:rPr>
        <w:t>294.95</w:t>
      </w:r>
      <w:r>
        <w:rPr>
          <w:rFonts w:hint="eastAsia" w:ascii="仿宋_GB2312" w:cs="仿宋_GB2312"/>
        </w:rPr>
        <w:t>万元，其中，基本支出</w:t>
      </w:r>
      <w:r>
        <w:rPr>
          <w:rFonts w:hint="eastAsia" w:ascii="仿宋_GB2312" w:cs="方正书宋_GBK"/>
        </w:rPr>
        <w:t>205.95</w:t>
      </w:r>
      <w:r>
        <w:rPr>
          <w:rFonts w:hint="eastAsia" w:ascii="仿宋_GB2312" w:cs="仿宋_GB2312"/>
        </w:rPr>
        <w:t>万元，包括人员经费185.76万元与公用经费20.19万元；项目支出</w:t>
      </w:r>
      <w:r>
        <w:rPr>
          <w:rFonts w:hint="eastAsia" w:ascii="仿宋_GB2312" w:cs="方正书宋_GBK"/>
        </w:rPr>
        <w:t>89</w:t>
      </w:r>
      <w:r>
        <w:rPr>
          <w:rFonts w:hint="eastAsia" w:ascii="仿宋_GB2312" w:cs="仿宋_GB2312"/>
        </w:rPr>
        <w:t>万元，包括基建审计费5万元，打印（印刷）费6万元，办公费、报刊费20万元，审计宣传经费8万元，办公设备购置4万元，信息化建设及运行4万元，维修（护）费15万元，劳务费（聘请律师）1万元，取暖费3万元，差旅费20万元（其中提前下达2万元），办公费3万元；其他支出</w:t>
      </w:r>
      <w:r>
        <w:rPr>
          <w:rFonts w:hint="eastAsia" w:ascii="仿宋_GB2312"/>
        </w:rPr>
        <w:t>0</w:t>
      </w:r>
      <w:r>
        <w:rPr>
          <w:rFonts w:hint="eastAsia" w:ascii="仿宋_GB2312" w:cs="仿宋_GB2312"/>
        </w:rPr>
        <w:t>万元。</w:t>
      </w:r>
    </w:p>
    <w:p>
      <w:pPr>
        <w:ind w:firstLine="640" w:firstLineChars="200"/>
        <w:rPr>
          <w:rFonts w:ascii="仿宋_GB2312" w:cs="Times New Roman"/>
        </w:rPr>
      </w:pPr>
      <w:r>
        <w:rPr>
          <w:rFonts w:hint="eastAsia" w:ascii="仿宋_GB2312" w:cs="仿宋_GB2312"/>
        </w:rPr>
        <w:t>（</w:t>
      </w:r>
      <w:r>
        <w:rPr>
          <w:rFonts w:hint="eastAsia" w:ascii="仿宋_GB2312"/>
        </w:rPr>
        <w:t>3</w:t>
      </w:r>
      <w:r>
        <w:rPr>
          <w:rFonts w:hint="eastAsia" w:ascii="仿宋_GB2312" w:cs="仿宋_GB2312"/>
        </w:rPr>
        <w:t>）比上年增减情况</w:t>
      </w:r>
    </w:p>
    <w:p>
      <w:pPr>
        <w:ind w:firstLine="640" w:firstLineChars="200"/>
        <w:rPr>
          <w:rFonts w:ascii="仿宋_GB2312" w:cs="Times New Roman"/>
        </w:rPr>
      </w:pPr>
      <w:r>
        <w:rPr>
          <w:rFonts w:hint="eastAsia" w:ascii="仿宋_GB2312"/>
        </w:rPr>
        <w:t>2019年，部门预算收支安排</w:t>
      </w:r>
      <w:r>
        <w:rPr>
          <w:rFonts w:hint="eastAsia" w:ascii="仿宋_GB2312" w:cs="方正书宋_GBK"/>
        </w:rPr>
        <w:t>294.95</w:t>
      </w:r>
      <w:r>
        <w:rPr>
          <w:rFonts w:hint="eastAsia" w:ascii="仿宋_GB2312"/>
        </w:rPr>
        <w:t>万元，</w:t>
      </w:r>
      <w:r>
        <w:rPr>
          <w:rFonts w:hint="eastAsia" w:ascii="仿宋_GB2312" w:cs="仿宋_GB2312"/>
        </w:rPr>
        <w:t>较</w:t>
      </w:r>
      <w:r>
        <w:rPr>
          <w:rFonts w:hint="eastAsia" w:ascii="仿宋_GB2312"/>
        </w:rPr>
        <w:t>2018</w:t>
      </w:r>
      <w:r>
        <w:rPr>
          <w:rFonts w:hint="eastAsia" w:ascii="仿宋_GB2312" w:cs="仿宋_GB2312"/>
        </w:rPr>
        <w:t>年减少</w:t>
      </w:r>
      <w:r>
        <w:rPr>
          <w:rFonts w:hint="eastAsia" w:ascii="仿宋_GB2312"/>
        </w:rPr>
        <w:t>17.75万元，</w:t>
      </w:r>
      <w:r>
        <w:rPr>
          <w:rFonts w:hint="eastAsia" w:ascii="仿宋_GB2312"/>
          <w:lang w:eastAsia="zh-CN"/>
        </w:rPr>
        <w:t>下降</w:t>
      </w:r>
      <w:r>
        <w:rPr>
          <w:rFonts w:hint="eastAsia" w:ascii="仿宋_GB2312"/>
          <w:lang w:val="en-US" w:eastAsia="zh-CN"/>
        </w:rPr>
        <w:t>5.68</w:t>
      </w:r>
      <w:r>
        <w:rPr>
          <w:rFonts w:hint="eastAsia" w:ascii="仿宋_GB2312"/>
        </w:rPr>
        <w:t>%，其中：基本支出增</w:t>
      </w:r>
      <w:r>
        <w:rPr>
          <w:rFonts w:hint="eastAsia" w:ascii="仿宋_GB2312"/>
          <w:lang w:eastAsia="zh-CN"/>
        </w:rPr>
        <w:t>加</w:t>
      </w:r>
      <w:bookmarkStart w:id="2" w:name="_GoBack"/>
      <w:bookmarkEnd w:id="2"/>
      <w:r>
        <w:rPr>
          <w:rFonts w:hint="eastAsia" w:ascii="仿宋_GB2312"/>
        </w:rPr>
        <w:t>10.15万元，主要是由于</w:t>
      </w:r>
      <w:r>
        <w:rPr>
          <w:rFonts w:hint="eastAsia" w:ascii="仿宋_GB2312"/>
          <w:color w:val="000000" w:themeColor="text1"/>
        </w:rPr>
        <w:t>人员工资增长</w:t>
      </w:r>
      <w:r>
        <w:rPr>
          <w:rFonts w:hint="eastAsia" w:ascii="仿宋_GB2312"/>
        </w:rPr>
        <w:t>，项目支出减少27.9</w:t>
      </w:r>
      <w:r>
        <w:rPr>
          <w:rFonts w:hint="eastAsia" w:ascii="仿宋_GB2312"/>
          <w:lang w:val="en-US" w:eastAsia="zh-CN"/>
        </w:rPr>
        <w:t>0</w:t>
      </w:r>
      <w:r>
        <w:rPr>
          <w:rFonts w:hint="eastAsia" w:ascii="仿宋_GB2312"/>
        </w:rPr>
        <w:t>万元，主要是由于项目劳务费支出减少。</w:t>
      </w:r>
    </w:p>
    <w:p>
      <w:pPr>
        <w:ind w:firstLine="643" w:firstLineChars="200"/>
        <w:rPr>
          <w:rFonts w:ascii="仿宋_GB2312" w:cs="Times New Roman"/>
          <w:b/>
          <w:bCs/>
        </w:rPr>
      </w:pPr>
      <w:r>
        <w:rPr>
          <w:rFonts w:hint="eastAsia" w:ascii="仿宋_GB2312"/>
          <w:b/>
          <w:bCs/>
        </w:rPr>
        <w:t>3</w:t>
      </w:r>
      <w:r>
        <w:rPr>
          <w:rFonts w:hint="eastAsia" w:ascii="仿宋_GB2312" w:cs="仿宋_GB2312"/>
          <w:b/>
          <w:bCs/>
        </w:rPr>
        <w:t>、机关运行经费安排情况</w:t>
      </w:r>
    </w:p>
    <w:p>
      <w:pPr>
        <w:autoSpaceDE w:val="0"/>
        <w:autoSpaceDN w:val="0"/>
        <w:adjustRightInd w:val="0"/>
        <w:ind w:left="198" w:firstLine="640" w:firstLineChars="200"/>
        <w:jc w:val="left"/>
        <w:rPr>
          <w:rFonts w:ascii="仿宋_GB2312"/>
          <w:highlight w:val="red"/>
        </w:rPr>
      </w:pPr>
      <w:r>
        <w:rPr>
          <w:rFonts w:hint="eastAsia" w:ascii="仿宋_GB2312" w:cs="仿宋_GB2312"/>
        </w:rPr>
        <w:t>机关运行经费共计安排</w:t>
      </w:r>
      <w:r>
        <w:rPr>
          <w:rFonts w:hint="eastAsia" w:ascii="仿宋_GB2312"/>
        </w:rPr>
        <w:t>20.19万元，主要用于保证机关正常运转的办公费1.5</w:t>
      </w:r>
      <w:r>
        <w:rPr>
          <w:rFonts w:hint="eastAsia" w:ascii="仿宋_GB2312"/>
          <w:lang w:val="en-US" w:eastAsia="zh-CN"/>
        </w:rPr>
        <w:t>0</w:t>
      </w:r>
      <w:r>
        <w:rPr>
          <w:rFonts w:hint="eastAsia" w:ascii="仿宋_GB2312"/>
        </w:rPr>
        <w:t>万元、邮电费2.45万元、工公经费1.38万元、福利费2.88万元、公务交通补贴8.58万元、水电费3.4</w:t>
      </w:r>
      <w:r>
        <w:rPr>
          <w:rFonts w:hint="eastAsia" w:ascii="仿宋_GB2312"/>
          <w:lang w:val="en-US" w:eastAsia="zh-CN"/>
        </w:rPr>
        <w:t>0</w:t>
      </w:r>
      <w:r>
        <w:rPr>
          <w:rFonts w:hint="eastAsia" w:ascii="仿宋_GB2312"/>
        </w:rPr>
        <w:t>万元。</w:t>
      </w:r>
    </w:p>
    <w:p>
      <w:pPr>
        <w:ind w:firstLine="643" w:firstLineChars="200"/>
        <w:rPr>
          <w:rFonts w:ascii="仿宋_GB2312" w:cs="Times New Roman"/>
          <w:b/>
          <w:bCs/>
        </w:rPr>
      </w:pPr>
      <w:r>
        <w:rPr>
          <w:rFonts w:hint="eastAsia" w:ascii="仿宋_GB2312"/>
          <w:b/>
          <w:bCs/>
        </w:rPr>
        <w:t>4</w:t>
      </w:r>
      <w:r>
        <w:rPr>
          <w:rFonts w:hint="eastAsia" w:ascii="仿宋_GB2312" w:cs="仿宋_GB2312"/>
          <w:b/>
          <w:bCs/>
        </w:rPr>
        <w:t>、财政拨款“三公”经费预算情况及增减变化情况</w:t>
      </w:r>
    </w:p>
    <w:p>
      <w:pPr>
        <w:ind w:firstLine="640" w:firstLineChars="200"/>
        <w:rPr>
          <w:color w:val="000000" w:themeColor="text1"/>
        </w:rPr>
      </w:pPr>
      <w:r>
        <w:rPr>
          <w:rFonts w:hint="eastAsia" w:ascii="仿宋_GB2312" w:cs="仿宋_GB2312"/>
        </w:rPr>
        <w:t>2019年，财政拨款“三公”经费预算安排0万元，其中：因公出国（境）费0万元</w:t>
      </w:r>
      <w:r>
        <w:rPr>
          <w:rFonts w:ascii="仿宋_GB2312" w:cs="仿宋_GB2312"/>
        </w:rPr>
        <w:t>,</w:t>
      </w:r>
      <w:r>
        <w:rPr>
          <w:rFonts w:hint="eastAsia"/>
        </w:rPr>
        <w:t xml:space="preserve"> 与2018年</w:t>
      </w:r>
      <w:r>
        <w:rPr>
          <w:rFonts w:hint="eastAsia"/>
          <w:color w:val="000000" w:themeColor="text1"/>
        </w:rPr>
        <w:t>持平，无增减变化</w:t>
      </w:r>
      <w:r>
        <w:rPr>
          <w:rFonts w:hint="eastAsia" w:ascii="仿宋_GB2312" w:cs="仿宋_GB2312"/>
        </w:rPr>
        <w:t>；</w:t>
      </w:r>
      <w:r>
        <w:rPr>
          <w:rFonts w:hint="eastAsia"/>
        </w:rPr>
        <w:t>公务用车购置及运行维护费0万元（其中公务用车购置费0万元，公务用车运行维护费0</w:t>
      </w:r>
      <w:r>
        <w:rPr>
          <w:rFonts w:hint="eastAsia"/>
          <w:color w:val="000000" w:themeColor="text1"/>
        </w:rPr>
        <w:t>万元），与2018年持平，无增减变化；公务接待费0万元，与2018年持平，无增减变化。</w:t>
      </w:r>
    </w:p>
    <w:p>
      <w:pPr>
        <w:ind w:firstLine="643" w:firstLineChars="200"/>
        <w:rPr>
          <w:b/>
          <w:color w:val="000000" w:themeColor="text1"/>
        </w:rPr>
      </w:pPr>
      <w:r>
        <w:rPr>
          <w:rFonts w:hint="eastAsia"/>
          <w:b/>
          <w:color w:val="000000" w:themeColor="text1"/>
        </w:rPr>
        <w:t>5、绩效预算信息</w:t>
      </w:r>
    </w:p>
    <w:p>
      <w:pPr>
        <w:ind w:firstLine="643" w:firstLineChars="200"/>
        <w:rPr>
          <w:b/>
          <w:bCs/>
          <w:color w:val="000000" w:themeColor="text1"/>
        </w:rPr>
      </w:pPr>
      <w:r>
        <w:rPr>
          <w:rFonts w:hint="eastAsia"/>
          <w:b/>
          <w:bCs/>
          <w:color w:val="000000" w:themeColor="text1"/>
        </w:rPr>
        <w:t>总体绩效目标</w:t>
      </w:r>
    </w:p>
    <w:p>
      <w:pPr>
        <w:spacing w:line="500" w:lineRule="exact"/>
        <w:ind w:firstLine="560"/>
        <w:rPr>
          <w:color w:val="000000" w:themeColor="text1"/>
        </w:rPr>
      </w:pPr>
      <w:r>
        <w:rPr>
          <w:color w:val="000000" w:themeColor="text1"/>
        </w:rPr>
        <w:t>（一）组织领导、协调监督审计机关的业务，编制审计工作规划，确定年度工作重点；</w:t>
      </w:r>
    </w:p>
    <w:p>
      <w:pPr>
        <w:spacing w:line="500" w:lineRule="exact"/>
        <w:ind w:firstLine="560"/>
        <w:rPr>
          <w:color w:val="000000" w:themeColor="text1"/>
        </w:rPr>
      </w:pPr>
      <w:r>
        <w:rPr>
          <w:color w:val="000000" w:themeColor="text1"/>
        </w:rPr>
        <w:t>（二）向县政府报告审计情况，提出制定和完善有关政策法规、工作措施的建议。</w:t>
      </w:r>
    </w:p>
    <w:p>
      <w:pPr>
        <w:spacing w:line="500" w:lineRule="exact"/>
        <w:ind w:firstLine="560"/>
        <w:rPr>
          <w:color w:val="000000" w:themeColor="text1"/>
        </w:rPr>
      </w:pPr>
      <w:r>
        <w:rPr>
          <w:color w:val="000000" w:themeColor="text1"/>
        </w:rPr>
        <w:t>（三）依据《中华人民共和国审计法》规定的直接审计事项及其他法律法规规定的审计事项</w:t>
      </w:r>
    </w:p>
    <w:p>
      <w:pPr>
        <w:spacing w:line="500" w:lineRule="exact"/>
        <w:ind w:firstLine="560"/>
        <w:rPr>
          <w:color w:val="000000" w:themeColor="text1"/>
        </w:rPr>
      </w:pPr>
      <w:r>
        <w:rPr>
          <w:color w:val="000000" w:themeColor="text1"/>
        </w:rPr>
        <w:t>（四）审计监督县本级预算执行情况和其他财政收支，向政府提交预算执行情况的审计结果报告，受县政府委托向县人大党委会提出预算执行情况的其他财政收支审计工作报告。</w:t>
      </w:r>
    </w:p>
    <w:p>
      <w:pPr>
        <w:spacing w:line="500" w:lineRule="exact"/>
        <w:ind w:firstLine="560"/>
        <w:rPr>
          <w:color w:val="000000" w:themeColor="text1"/>
        </w:rPr>
      </w:pPr>
      <w:r>
        <w:rPr>
          <w:color w:val="000000" w:themeColor="text1"/>
        </w:rPr>
        <w:t>（五）组织实施对贯彻执行国家财经方针政策和宏观调控措施情况的行业审计、专项审计和审计调查；参加对国有金融机构、非银行金融机构资产、负债和损益状况的审计监督。</w:t>
      </w:r>
    </w:p>
    <w:p>
      <w:pPr>
        <w:spacing w:line="500" w:lineRule="exact"/>
        <w:ind w:firstLine="560"/>
        <w:rPr>
          <w:color w:val="000000" w:themeColor="text1"/>
        </w:rPr>
      </w:pPr>
      <w:r>
        <w:rPr>
          <w:color w:val="000000" w:themeColor="text1"/>
        </w:rPr>
        <w:t>（六）组织实施对科局级以下党政机关领导干部和国有及国有控股企业领导人进行任期经济责任审计。</w:t>
      </w:r>
    </w:p>
    <w:p>
      <w:pPr>
        <w:spacing w:line="500" w:lineRule="exact"/>
        <w:ind w:firstLine="560"/>
        <w:rPr>
          <w:color w:val="000000" w:themeColor="text1"/>
        </w:rPr>
      </w:pPr>
      <w:r>
        <w:rPr>
          <w:color w:val="000000" w:themeColor="text1"/>
        </w:rPr>
        <w:t>（七）组织实施对内部审计的指导和监督；组织审计专业培训。</w:t>
      </w:r>
    </w:p>
    <w:p>
      <w:pPr>
        <w:spacing w:line="500" w:lineRule="exact"/>
        <w:ind w:firstLine="560"/>
        <w:rPr>
          <w:color w:val="000000" w:themeColor="text1"/>
        </w:rPr>
      </w:pPr>
      <w:r>
        <w:rPr>
          <w:color w:val="000000" w:themeColor="text1"/>
        </w:rPr>
        <w:t>（八）承办县政府和上级审计机关交办的其他事项。</w:t>
      </w:r>
    </w:p>
    <w:p>
      <w:pPr>
        <w:ind w:firstLine="560"/>
        <w:rPr>
          <w:color w:val="000000" w:themeColor="text1"/>
        </w:rPr>
      </w:pPr>
      <w:r>
        <w:rPr>
          <w:rFonts w:hint="eastAsia"/>
          <w:b/>
          <w:bCs/>
          <w:color w:val="000000" w:themeColor="text1"/>
        </w:rPr>
        <w:t>职责分类绩效目标：</w:t>
      </w:r>
    </w:p>
    <w:p>
      <w:pPr>
        <w:autoSpaceDE w:val="0"/>
        <w:autoSpaceDN w:val="0"/>
        <w:adjustRightInd w:val="0"/>
        <w:ind w:left="198" w:firstLine="640" w:firstLineChars="200"/>
        <w:jc w:val="left"/>
        <w:rPr>
          <w:rFonts w:ascii="Times New Roman" w:hAnsi="Times New Roman" w:eastAsia="仿宋" w:cs="Times New Roman"/>
        </w:rPr>
      </w:pPr>
      <w:r>
        <w:rPr>
          <w:rFonts w:ascii="Times New Roman" w:hAnsi="Times New Roman" w:eastAsia="仿宋" w:cs="Times New Roman"/>
        </w:rPr>
        <w:t>（一）组织领导、协调监督审计机关的业务，编制审计工作规划，确定年度工作重点；</w:t>
      </w:r>
    </w:p>
    <w:p>
      <w:pPr>
        <w:autoSpaceDE w:val="0"/>
        <w:autoSpaceDN w:val="0"/>
        <w:adjustRightInd w:val="0"/>
        <w:ind w:left="198" w:firstLine="640" w:firstLineChars="200"/>
        <w:jc w:val="left"/>
        <w:rPr>
          <w:rFonts w:ascii="Times New Roman" w:hAnsi="Times New Roman" w:eastAsia="仿宋" w:cs="Times New Roman"/>
        </w:rPr>
      </w:pPr>
      <w:r>
        <w:rPr>
          <w:rFonts w:ascii="Times New Roman" w:hAnsi="Times New Roman" w:eastAsia="仿宋" w:cs="Times New Roman"/>
        </w:rPr>
        <w:t>（二）向县政府报告审计情况，提出制定和完善有关政策法规、工作措施的建议。</w:t>
      </w:r>
    </w:p>
    <w:p>
      <w:pPr>
        <w:autoSpaceDE w:val="0"/>
        <w:autoSpaceDN w:val="0"/>
        <w:adjustRightInd w:val="0"/>
        <w:ind w:left="198" w:firstLine="640" w:firstLineChars="200"/>
        <w:jc w:val="left"/>
        <w:rPr>
          <w:rFonts w:ascii="Times New Roman" w:hAnsi="Times New Roman" w:eastAsia="仿宋" w:cs="Times New Roman"/>
        </w:rPr>
      </w:pPr>
      <w:r>
        <w:rPr>
          <w:rFonts w:ascii="Times New Roman" w:hAnsi="Times New Roman" w:eastAsia="仿宋" w:cs="Times New Roman"/>
        </w:rPr>
        <w:t>（三）依据《中华人民共和国审计法》规定的直接审计事项及其他法律法规规定的审计事项。</w:t>
      </w:r>
    </w:p>
    <w:p>
      <w:pPr>
        <w:autoSpaceDE w:val="0"/>
        <w:autoSpaceDN w:val="0"/>
        <w:adjustRightInd w:val="0"/>
        <w:ind w:left="198" w:firstLine="640" w:firstLineChars="200"/>
        <w:jc w:val="left"/>
        <w:rPr>
          <w:rFonts w:ascii="Times New Roman" w:hAnsi="Times New Roman" w:eastAsia="仿宋" w:cs="Times New Roman"/>
        </w:rPr>
      </w:pPr>
      <w:r>
        <w:rPr>
          <w:rFonts w:ascii="Times New Roman" w:hAnsi="Times New Roman" w:eastAsia="仿宋" w:cs="Times New Roman"/>
        </w:rPr>
        <w:t>（四）审计监督县本级预算执行情况和其他财政收支，向政府提交预算执行情况的审计结果报告，受县政府委托向县人大常委会提出预算执行情况和其他财政收支审计工作报告。</w:t>
      </w:r>
    </w:p>
    <w:p>
      <w:pPr>
        <w:autoSpaceDE w:val="0"/>
        <w:autoSpaceDN w:val="0"/>
        <w:adjustRightInd w:val="0"/>
        <w:ind w:left="198" w:firstLine="640" w:firstLineChars="200"/>
        <w:jc w:val="left"/>
        <w:rPr>
          <w:rFonts w:ascii="Times New Roman" w:hAnsi="Times New Roman" w:eastAsia="仿宋" w:cs="Times New Roman"/>
        </w:rPr>
      </w:pPr>
      <w:r>
        <w:rPr>
          <w:rFonts w:ascii="Times New Roman" w:hAnsi="Times New Roman" w:eastAsia="仿宋" w:cs="Times New Roman"/>
        </w:rPr>
        <w:t>（五）组织实施对贯彻执行国家财经方针政策和宏观调控措施情况的行业审计、专项审计和审计调查；参加对国有金融机构、非银行金融机构资产、负债和损益状况的审计监督。</w:t>
      </w:r>
    </w:p>
    <w:p>
      <w:pPr>
        <w:autoSpaceDE w:val="0"/>
        <w:autoSpaceDN w:val="0"/>
        <w:adjustRightInd w:val="0"/>
        <w:ind w:left="198" w:firstLine="640" w:firstLineChars="200"/>
        <w:jc w:val="left"/>
        <w:rPr>
          <w:rFonts w:ascii="Times New Roman" w:hAnsi="Times New Roman" w:eastAsia="仿宋" w:cs="Times New Roman"/>
        </w:rPr>
      </w:pPr>
      <w:r>
        <w:rPr>
          <w:rFonts w:ascii="Times New Roman" w:hAnsi="Times New Roman" w:eastAsia="仿宋" w:cs="Times New Roman"/>
        </w:rPr>
        <w:t>（六）组织实施对科局级以下党政领导干部和国有及国有控股企业领导人进行任期经济责任审计。</w:t>
      </w:r>
    </w:p>
    <w:p>
      <w:pPr>
        <w:autoSpaceDE w:val="0"/>
        <w:autoSpaceDN w:val="0"/>
        <w:adjustRightInd w:val="0"/>
        <w:ind w:left="198" w:firstLine="640" w:firstLineChars="200"/>
        <w:jc w:val="left"/>
        <w:rPr>
          <w:rFonts w:ascii="Times New Roman" w:hAnsi="Times New Roman" w:eastAsia="仿宋" w:cs="Times New Roman"/>
        </w:rPr>
      </w:pPr>
      <w:r>
        <w:rPr>
          <w:rFonts w:ascii="Times New Roman" w:hAnsi="Times New Roman" w:eastAsia="仿宋" w:cs="Times New Roman"/>
        </w:rPr>
        <w:t>（七）组织实施对内部审计的指导与监督；组织审计专业培训。</w:t>
      </w:r>
    </w:p>
    <w:p>
      <w:pPr>
        <w:autoSpaceDE w:val="0"/>
        <w:autoSpaceDN w:val="0"/>
        <w:adjustRightInd w:val="0"/>
        <w:ind w:left="198" w:firstLine="640" w:firstLineChars="200"/>
        <w:jc w:val="left"/>
        <w:rPr>
          <w:rFonts w:ascii="Times New Roman" w:hAnsi="Times New Roman" w:eastAsia="仿宋" w:cs="Times New Roman"/>
        </w:rPr>
      </w:pPr>
      <w:r>
        <w:rPr>
          <w:rFonts w:ascii="Times New Roman" w:hAnsi="Times New Roman" w:eastAsia="仿宋" w:cs="Times New Roman"/>
        </w:rPr>
        <w:t>（八）承办县政府和上级审计机关交办的其他事项。</w:t>
      </w:r>
    </w:p>
    <w:p>
      <w:pPr>
        <w:ind w:firstLine="643" w:firstLineChars="200"/>
        <w:rPr>
          <w:rFonts w:ascii="仿宋_GB2312" w:cs="方正仿宋_GBK"/>
          <w:b/>
        </w:rPr>
      </w:pPr>
      <w:r>
        <w:rPr>
          <w:rFonts w:hint="eastAsia" w:ascii="仿宋_GB2312" w:cs="方正仿宋_GBK"/>
          <w:b/>
        </w:rPr>
        <w:t>实现年度发展规划目标的保障措施：</w:t>
      </w:r>
    </w:p>
    <w:p>
      <w:pPr>
        <w:autoSpaceDE w:val="0"/>
        <w:autoSpaceDN w:val="0"/>
        <w:adjustRightInd w:val="0"/>
        <w:ind w:left="198" w:firstLine="640" w:firstLineChars="200"/>
        <w:jc w:val="left"/>
        <w:rPr>
          <w:rFonts w:ascii="Times New Roman" w:hAnsi="Times New Roman" w:eastAsia="仿宋" w:cs="Times New Roman"/>
        </w:rPr>
      </w:pPr>
      <w:r>
        <w:rPr>
          <w:rFonts w:hint="eastAsia" w:ascii="Times New Roman" w:hAnsi="Times New Roman" w:eastAsia="仿宋" w:cs="Times New Roman"/>
        </w:rPr>
        <w:t>1 、全面推进干部队伍建设。坚持以人为本，改革创新，全面提高审计人员依法审计能力和审计工作水平，逐步建立健全适应审计事业科学发展需要的干部管理和人力资源管理体制和机制，着力打造政治过硬、业务精通、作风优良、廉洁自律、文明和谐的审计干部队伍。</w:t>
      </w:r>
    </w:p>
    <w:p>
      <w:pPr>
        <w:autoSpaceDE w:val="0"/>
        <w:autoSpaceDN w:val="0"/>
        <w:adjustRightInd w:val="0"/>
        <w:ind w:left="198" w:firstLine="640" w:firstLineChars="200"/>
        <w:jc w:val="left"/>
        <w:rPr>
          <w:rFonts w:ascii="Times New Roman" w:hAnsi="Times New Roman" w:eastAsia="仿宋" w:cs="Times New Roman"/>
        </w:rPr>
      </w:pPr>
      <w:r>
        <w:rPr>
          <w:rFonts w:hint="eastAsia" w:ascii="Times New Roman" w:hAnsi="Times New Roman" w:eastAsia="仿宋" w:cs="Times New Roman"/>
        </w:rPr>
        <w:t>2、全面推进审计法治化建设。规范审计行为，推进依法审计，更加注重依法审计、文明审计，更加注重加强整改、完善制度，更加注重提高素质、严格管理，加强审计规章制度建设，强化审计质量控制，深入开展普法宣传，进一步规范审计行为，提高审计工作的法治化、规范化水平。</w:t>
      </w:r>
    </w:p>
    <w:p>
      <w:pPr>
        <w:autoSpaceDE w:val="0"/>
        <w:autoSpaceDN w:val="0"/>
        <w:adjustRightInd w:val="0"/>
        <w:ind w:left="198" w:firstLine="640" w:firstLineChars="200"/>
        <w:jc w:val="left"/>
        <w:rPr>
          <w:rFonts w:ascii="Times New Roman" w:hAnsi="Times New Roman" w:eastAsia="仿宋" w:cs="Times New Roman"/>
        </w:rPr>
      </w:pPr>
      <w:r>
        <w:rPr>
          <w:rFonts w:hint="eastAsia" w:ascii="Times New Roman" w:hAnsi="Times New Roman" w:eastAsia="仿宋" w:cs="Times New Roman"/>
        </w:rPr>
        <w:t>3、全面推进审计信息化建设。以数字化为基础，创新计算机审计的形式和内容，探索形成适应信息化环境的审计方式。</w:t>
      </w:r>
    </w:p>
    <w:p>
      <w:pPr>
        <w:autoSpaceDE w:val="0"/>
        <w:autoSpaceDN w:val="0"/>
        <w:adjustRightInd w:val="0"/>
        <w:ind w:left="198" w:firstLine="640" w:firstLineChars="200"/>
        <w:jc w:val="left"/>
        <w:rPr>
          <w:rFonts w:ascii="Times New Roman" w:hAnsi="Times New Roman" w:eastAsia="仿宋" w:cs="Times New Roman"/>
        </w:rPr>
      </w:pPr>
      <w:r>
        <w:rPr>
          <w:rFonts w:hint="eastAsia" w:ascii="Times New Roman" w:hAnsi="Times New Roman" w:eastAsia="仿宋" w:cs="Times New Roman"/>
        </w:rPr>
        <w:t>4、全面提升审计机关综合管理水平。以促进提高审计工作效能，提升审计机关管理水平为目标，加强审计成果综合利用，提升审计成果层次；同时，按上级的部署要求积极稳妥推进审计结果公告制度，推进审计机关政务公开、政府信息公开工作，不断提高审计工作的开放性和透明度，促进依法行政和政务公开。</w:t>
      </w:r>
    </w:p>
    <w:p>
      <w:pPr>
        <w:ind w:firstLine="560"/>
        <w:rPr>
          <w:rFonts w:cs="仿宋_GB2312"/>
        </w:rPr>
      </w:pPr>
      <w:r>
        <w:rPr>
          <w:rFonts w:hint="eastAsia" w:cs="仿宋_GB2312"/>
          <w:b/>
          <w:bCs/>
        </w:rPr>
        <w:t>2019年，部门职责及工作活动绩效目标指标</w:t>
      </w:r>
    </w:p>
    <w:p>
      <w:pPr>
        <w:jc w:val="center"/>
        <w:outlineLvl w:val="0"/>
        <w:rPr>
          <w:rFonts w:ascii="方正小标宋_GBK" w:eastAsia="方正小标宋_GBK"/>
        </w:rPr>
      </w:pPr>
      <w:bookmarkStart w:id="1" w:name="_Toc508098000"/>
      <w:r>
        <w:rPr>
          <w:rFonts w:hint="eastAsia" w:ascii="方正小标宋_GBK" w:eastAsia="方正小标宋_GBK"/>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319</w:t>
            </w:r>
            <w:r>
              <w:rPr>
                <w:rFonts w:hint="eastAsia" w:ascii="方正小标宋_GBK" w:eastAsia="方正小标宋_GBK"/>
                <w:sz w:val="24"/>
              </w:rPr>
              <w:t>审计局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w:t>
            </w:r>
            <w:r>
              <w:rPr>
                <w:rFonts w:hint="eastAsia" w:ascii="方正书宋_GBK" w:eastAsia="方正书宋_GBK"/>
                <w:sz w:val="24"/>
                <w:lang w:eastAsia="zh-CN"/>
              </w:rPr>
              <w:t>万</w:t>
            </w:r>
            <w:r>
              <w:rPr>
                <w:rFonts w:hint="eastAsia" w:ascii="方正书宋_GBK" w:eastAsia="方正书宋_GBK"/>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一、审计业务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主管全县审计工作。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主管全县审计工作。通过财政财务收支审计真实、合法和效益情况，维护国家财政经济秩序，促进廉政建设，保障国民经济的健康运行。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、审计业务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审计本级财政部门组织本级预算执行情况，审计下级人民政府的预算执行和决算情况，审计其他财政收支情况，审计其他取得财政资金的单位和项目接受、运用财政资金的真实、合法和效益情况</w:t>
            </w:r>
            <w:r>
              <w:rPr>
                <w:rFonts w:ascii="方正书宋_GBK" w:eastAsia="方正书宋_GBK"/>
              </w:rPr>
              <w:t>,</w:t>
            </w:r>
            <w:r>
              <w:rPr>
                <w:rFonts w:hint="eastAsia" w:ascii="方正书宋_GBK" w:eastAsia="方正书宋_GBK"/>
              </w:rPr>
              <w:t>实施领导干部经济责任审计等审计。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通过审计财政、财务收支真实、合法和效益，维护国家财政经济秩序、促进廉政建设、保障国民经济的健康发展。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审计计划完成率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审计决定落实率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、专项审计调查</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对经济领域中带有全局性、普遍性、倾向性的特定事项进行系统调查了解并向县政府报告情况和结果。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通过专项审计调查，综合分析，向有关部门反映情况，揭露问题、提出解决问题的建议，为政府决策提供依据。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专项审计工作完成率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政策建议采纳率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二、审计管理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审计法制管理。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贯彻落实相关法律法规及大内部审计管理制度提高审计质量和审计机关法制管理水平。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、审计法制管理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对审计项目、规范性文件进行审核，依法核查社会审计机构相关审计报告，做好审计机关的质量检查等。</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通过审计项目审理来保障审计质量，提高县级审计法制管理水平。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审计项目审理覆盖率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审计项目报告合格率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三、审计政务管理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包括系统综合业务管理和机关综合事务管理。充分发挥参谋助手作用和综合协调作用，推进审计事业科学协调发展。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组织开展信息化建设、教育培训、审计理论研究，抓好新闻宣传和文化建设、政务信息公开，开展审计服务和业务咨询。</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信息保障安全有效，信息化建设稳步推进；加强宣传引导；提高人员业务水平，推动审计事业发展。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抓好干部队伍建设、基础设施建设及其它综合事务。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提高人员业务水平，不断提高审计业务质量；保障机关正常运转。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bl>
    <w:p>
      <w:pPr>
        <w:spacing w:line="300" w:lineRule="exact"/>
        <w:jc w:val="left"/>
        <w:outlineLvl w:val="0"/>
        <w:rPr>
          <w:sz w:val="21"/>
          <w:szCs w:val="21"/>
        </w:rPr>
        <w:sectPr>
          <w:pgSz w:w="16839" w:h="11907" w:orient="landscape"/>
          <w:pgMar w:top="1020" w:right="1361" w:bottom="1020" w:left="1361" w:header="851" w:footer="992" w:gutter="0"/>
          <w:cols w:space="425" w:num="1"/>
          <w:docGrid w:type="lines" w:linePitch="312" w:charSpace="0"/>
        </w:sectPr>
      </w:pPr>
      <w:r>
        <w:rPr>
          <w:rStyle w:val="6"/>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p>
      <w:pPr>
        <w:spacing w:line="300" w:lineRule="exact"/>
        <w:jc w:val="left"/>
        <w:outlineLvl w:val="0"/>
        <w:rPr>
          <w:rFonts w:cs="Times New Roman"/>
        </w:rPr>
      </w:pPr>
    </w:p>
    <w:p>
      <w:pPr>
        <w:ind w:firstLine="643" w:firstLineChars="200"/>
        <w:rPr>
          <w:rFonts w:cs="仿宋_GB2312"/>
          <w:b/>
        </w:rPr>
      </w:pPr>
      <w:r>
        <w:rPr>
          <w:b/>
          <w:bCs/>
        </w:rPr>
        <w:t>6</w:t>
      </w:r>
      <w:r>
        <w:rPr>
          <w:rFonts w:hint="eastAsia" w:cs="仿宋_GB2312"/>
          <w:b/>
        </w:rPr>
        <w:t>、政府采购预算情况</w:t>
      </w:r>
    </w:p>
    <w:p>
      <w:pPr>
        <w:ind w:firstLine="640" w:firstLineChars="200"/>
        <w:rPr>
          <w:rFonts w:ascii="仿宋_GB2312"/>
        </w:rPr>
      </w:pPr>
      <w:r>
        <w:rPr>
          <w:rFonts w:hint="eastAsia" w:ascii="仿宋_GB2312"/>
        </w:rPr>
        <w:t>2019年，我部门安排政府采购预算4.00万元，其中一般公共预算拨款4.00万元,详见下表。</w:t>
      </w:r>
    </w:p>
    <w:p>
      <w:pPr>
        <w:ind w:firstLine="643" w:firstLineChars="200"/>
        <w:rPr>
          <w:rFonts w:cs="仿宋_GB2312"/>
          <w:b/>
        </w:rPr>
      </w:pPr>
    </w:p>
    <w:tbl>
      <w:tblPr>
        <w:tblStyle w:val="7"/>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8"/>
        <w:gridCol w:w="1267"/>
        <w:gridCol w:w="874"/>
        <w:gridCol w:w="951"/>
        <w:gridCol w:w="597"/>
        <w:gridCol w:w="741"/>
        <w:gridCol w:w="950"/>
        <w:gridCol w:w="1168"/>
        <w:gridCol w:w="1168"/>
        <w:gridCol w:w="1168"/>
        <w:gridCol w:w="781"/>
        <w:gridCol w:w="865"/>
        <w:gridCol w:w="868"/>
        <w:gridCol w:w="8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72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1"/>
                <w:szCs w:val="21"/>
              </w:rPr>
            </w:pPr>
            <w:r>
              <w:rPr>
                <w:rFonts w:hint="eastAsia" w:ascii="方正小标宋_GBK" w:eastAsia="方正小标宋_GBK"/>
                <w:sz w:val="24"/>
              </w:rPr>
              <w:t>319饶阳县审计局</w:t>
            </w:r>
          </w:p>
        </w:tc>
        <w:tc>
          <w:tcPr>
            <w:tcW w:w="6840"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615" w:type="dxa"/>
            <w:gridSpan w:val="2"/>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政府采购项目来源</w:t>
            </w:r>
          </w:p>
        </w:tc>
        <w:tc>
          <w:tcPr>
            <w:tcW w:w="874"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采购物品名称</w:t>
            </w:r>
          </w:p>
        </w:tc>
        <w:tc>
          <w:tcPr>
            <w:tcW w:w="951"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政府采购目录序号</w:t>
            </w:r>
          </w:p>
        </w:tc>
        <w:tc>
          <w:tcPr>
            <w:tcW w:w="597"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数量</w:t>
            </w:r>
            <w:r>
              <w:rPr>
                <w:rFonts w:ascii="方正书宋_GBK" w:eastAsia="方正书宋_GBK"/>
                <w:b/>
                <w:sz w:val="21"/>
                <w:szCs w:val="21"/>
              </w:rPr>
              <w:t xml:space="preserve">  </w:t>
            </w:r>
            <w:r>
              <w:rPr>
                <w:rFonts w:hint="eastAsia" w:ascii="方正书宋_GBK" w:eastAsia="方正书宋_GBK"/>
                <w:b/>
                <w:sz w:val="21"/>
                <w:szCs w:val="21"/>
              </w:rPr>
              <w:t>单位</w:t>
            </w:r>
          </w:p>
        </w:tc>
        <w:tc>
          <w:tcPr>
            <w:tcW w:w="741"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数量</w:t>
            </w:r>
          </w:p>
        </w:tc>
        <w:tc>
          <w:tcPr>
            <w:tcW w:w="950"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单价</w:t>
            </w:r>
          </w:p>
        </w:tc>
        <w:tc>
          <w:tcPr>
            <w:tcW w:w="6840" w:type="dxa"/>
            <w:gridSpan w:val="7"/>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48"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1267"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预算资金</w:t>
            </w:r>
          </w:p>
        </w:tc>
        <w:tc>
          <w:tcPr>
            <w:tcW w:w="874" w:type="dxa"/>
            <w:vMerge w:val="continue"/>
            <w:shd w:val="clear" w:color="auto" w:fill="auto"/>
            <w:vAlign w:val="center"/>
          </w:tcPr>
          <w:p>
            <w:pPr>
              <w:spacing w:line="300" w:lineRule="exact"/>
              <w:jc w:val="left"/>
              <w:outlineLvl w:val="0"/>
              <w:rPr>
                <w:sz w:val="21"/>
                <w:szCs w:val="21"/>
              </w:rPr>
            </w:pPr>
          </w:p>
        </w:tc>
        <w:tc>
          <w:tcPr>
            <w:tcW w:w="951" w:type="dxa"/>
            <w:vMerge w:val="continue"/>
            <w:shd w:val="clear" w:color="auto" w:fill="auto"/>
            <w:vAlign w:val="center"/>
          </w:tcPr>
          <w:p>
            <w:pPr>
              <w:spacing w:line="300" w:lineRule="exact"/>
              <w:jc w:val="left"/>
              <w:outlineLvl w:val="0"/>
              <w:rPr>
                <w:sz w:val="21"/>
                <w:szCs w:val="21"/>
              </w:rPr>
            </w:pPr>
          </w:p>
        </w:tc>
        <w:tc>
          <w:tcPr>
            <w:tcW w:w="597" w:type="dxa"/>
            <w:vMerge w:val="continue"/>
            <w:shd w:val="clear" w:color="auto" w:fill="auto"/>
            <w:vAlign w:val="center"/>
          </w:tcPr>
          <w:p>
            <w:pPr>
              <w:spacing w:line="300" w:lineRule="exact"/>
              <w:jc w:val="left"/>
              <w:outlineLvl w:val="0"/>
              <w:rPr>
                <w:sz w:val="21"/>
                <w:szCs w:val="21"/>
              </w:rPr>
            </w:pPr>
          </w:p>
        </w:tc>
        <w:tc>
          <w:tcPr>
            <w:tcW w:w="741" w:type="dxa"/>
            <w:vMerge w:val="continue"/>
            <w:shd w:val="clear" w:color="auto" w:fill="auto"/>
            <w:vAlign w:val="center"/>
          </w:tcPr>
          <w:p>
            <w:pPr>
              <w:spacing w:line="300" w:lineRule="exact"/>
              <w:jc w:val="left"/>
              <w:outlineLvl w:val="0"/>
              <w:rPr>
                <w:sz w:val="21"/>
                <w:szCs w:val="21"/>
              </w:rPr>
            </w:pPr>
          </w:p>
        </w:tc>
        <w:tc>
          <w:tcPr>
            <w:tcW w:w="950" w:type="dxa"/>
            <w:vMerge w:val="continue"/>
            <w:shd w:val="clear" w:color="auto" w:fill="auto"/>
            <w:vAlign w:val="center"/>
          </w:tcPr>
          <w:p>
            <w:pPr>
              <w:spacing w:line="300" w:lineRule="exact"/>
              <w:jc w:val="left"/>
              <w:outlineLvl w:val="0"/>
              <w:rPr>
                <w:sz w:val="21"/>
                <w:szCs w:val="21"/>
              </w:rPr>
            </w:pPr>
          </w:p>
        </w:tc>
        <w:tc>
          <w:tcPr>
            <w:tcW w:w="1168"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总计</w:t>
            </w:r>
          </w:p>
        </w:tc>
        <w:tc>
          <w:tcPr>
            <w:tcW w:w="4850" w:type="dxa"/>
            <w:gridSpan w:val="5"/>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当年部门预算安排资金</w:t>
            </w:r>
          </w:p>
        </w:tc>
        <w:tc>
          <w:tcPr>
            <w:tcW w:w="822"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48" w:type="dxa"/>
            <w:vMerge w:val="continue"/>
            <w:shd w:val="clear" w:color="auto" w:fill="auto"/>
            <w:vAlign w:val="center"/>
          </w:tcPr>
          <w:p>
            <w:pPr>
              <w:spacing w:line="300" w:lineRule="exact"/>
              <w:jc w:val="left"/>
              <w:outlineLvl w:val="0"/>
              <w:rPr>
                <w:sz w:val="21"/>
                <w:szCs w:val="21"/>
              </w:rPr>
            </w:pPr>
          </w:p>
        </w:tc>
        <w:tc>
          <w:tcPr>
            <w:tcW w:w="1267" w:type="dxa"/>
            <w:vMerge w:val="continue"/>
            <w:shd w:val="clear" w:color="auto" w:fill="auto"/>
            <w:vAlign w:val="center"/>
          </w:tcPr>
          <w:p>
            <w:pPr>
              <w:spacing w:line="300" w:lineRule="exact"/>
              <w:jc w:val="left"/>
              <w:outlineLvl w:val="0"/>
              <w:rPr>
                <w:sz w:val="21"/>
                <w:szCs w:val="21"/>
              </w:rPr>
            </w:pPr>
          </w:p>
        </w:tc>
        <w:tc>
          <w:tcPr>
            <w:tcW w:w="874" w:type="dxa"/>
            <w:vMerge w:val="continue"/>
            <w:shd w:val="clear" w:color="auto" w:fill="auto"/>
            <w:vAlign w:val="center"/>
          </w:tcPr>
          <w:p>
            <w:pPr>
              <w:spacing w:line="300" w:lineRule="exact"/>
              <w:jc w:val="left"/>
              <w:outlineLvl w:val="0"/>
              <w:rPr>
                <w:sz w:val="21"/>
                <w:szCs w:val="21"/>
              </w:rPr>
            </w:pPr>
          </w:p>
        </w:tc>
        <w:tc>
          <w:tcPr>
            <w:tcW w:w="951" w:type="dxa"/>
            <w:vMerge w:val="continue"/>
            <w:shd w:val="clear" w:color="auto" w:fill="auto"/>
            <w:vAlign w:val="center"/>
          </w:tcPr>
          <w:p>
            <w:pPr>
              <w:spacing w:line="300" w:lineRule="exact"/>
              <w:jc w:val="left"/>
              <w:outlineLvl w:val="0"/>
              <w:rPr>
                <w:sz w:val="21"/>
                <w:szCs w:val="21"/>
              </w:rPr>
            </w:pPr>
          </w:p>
        </w:tc>
        <w:tc>
          <w:tcPr>
            <w:tcW w:w="597" w:type="dxa"/>
            <w:vMerge w:val="continue"/>
            <w:shd w:val="clear" w:color="auto" w:fill="auto"/>
            <w:vAlign w:val="center"/>
          </w:tcPr>
          <w:p>
            <w:pPr>
              <w:spacing w:line="300" w:lineRule="exact"/>
              <w:jc w:val="left"/>
              <w:outlineLvl w:val="0"/>
              <w:rPr>
                <w:sz w:val="21"/>
                <w:szCs w:val="21"/>
              </w:rPr>
            </w:pPr>
          </w:p>
        </w:tc>
        <w:tc>
          <w:tcPr>
            <w:tcW w:w="741" w:type="dxa"/>
            <w:vMerge w:val="continue"/>
            <w:shd w:val="clear" w:color="auto" w:fill="auto"/>
            <w:vAlign w:val="center"/>
          </w:tcPr>
          <w:p>
            <w:pPr>
              <w:spacing w:line="300" w:lineRule="exact"/>
              <w:jc w:val="left"/>
              <w:outlineLvl w:val="0"/>
              <w:rPr>
                <w:sz w:val="21"/>
                <w:szCs w:val="21"/>
              </w:rPr>
            </w:pPr>
          </w:p>
        </w:tc>
        <w:tc>
          <w:tcPr>
            <w:tcW w:w="950" w:type="dxa"/>
            <w:vMerge w:val="continue"/>
            <w:shd w:val="clear" w:color="auto" w:fill="auto"/>
            <w:vAlign w:val="center"/>
          </w:tcPr>
          <w:p>
            <w:pPr>
              <w:spacing w:line="300" w:lineRule="exact"/>
              <w:jc w:val="left"/>
              <w:outlineLvl w:val="0"/>
              <w:rPr>
                <w:sz w:val="21"/>
                <w:szCs w:val="21"/>
              </w:rPr>
            </w:pPr>
          </w:p>
        </w:tc>
        <w:tc>
          <w:tcPr>
            <w:tcW w:w="1168" w:type="dxa"/>
            <w:vMerge w:val="continue"/>
            <w:shd w:val="clear" w:color="auto" w:fill="auto"/>
            <w:vAlign w:val="center"/>
          </w:tcPr>
          <w:p>
            <w:pPr>
              <w:spacing w:line="300" w:lineRule="exact"/>
              <w:jc w:val="left"/>
              <w:outlineLvl w:val="0"/>
              <w:rPr>
                <w:sz w:val="21"/>
                <w:szCs w:val="21"/>
              </w:rPr>
            </w:pPr>
          </w:p>
        </w:tc>
        <w:tc>
          <w:tcPr>
            <w:tcW w:w="1168"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合计</w:t>
            </w:r>
          </w:p>
        </w:tc>
        <w:tc>
          <w:tcPr>
            <w:tcW w:w="1168"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一般公共预算拨款</w:t>
            </w:r>
          </w:p>
        </w:tc>
        <w:tc>
          <w:tcPr>
            <w:tcW w:w="781"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基金预算拨款</w:t>
            </w:r>
          </w:p>
        </w:tc>
        <w:tc>
          <w:tcPr>
            <w:tcW w:w="865"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财政专户核拨</w:t>
            </w:r>
          </w:p>
        </w:tc>
        <w:tc>
          <w:tcPr>
            <w:tcW w:w="868"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其他来源收入</w:t>
            </w:r>
          </w:p>
        </w:tc>
        <w:tc>
          <w:tcPr>
            <w:tcW w:w="822" w:type="dxa"/>
            <w:vMerge w:val="continue"/>
            <w:shd w:val="clear" w:color="auto" w:fill="auto"/>
            <w:vAlign w:val="center"/>
          </w:tcPr>
          <w:p>
            <w:pPr>
              <w:spacing w:line="300" w:lineRule="exact"/>
              <w:jc w:val="left"/>
              <w:outlineLvl w:val="0"/>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合　计</w:t>
            </w:r>
          </w:p>
        </w:tc>
        <w:tc>
          <w:tcPr>
            <w:tcW w:w="1267" w:type="dxa"/>
            <w:shd w:val="clear" w:color="auto" w:fill="auto"/>
            <w:vAlign w:val="center"/>
          </w:tcPr>
          <w:p>
            <w:pPr>
              <w:spacing w:line="300" w:lineRule="exact"/>
              <w:jc w:val="right"/>
              <w:rPr>
                <w:rFonts w:ascii="方正书宋_GBK" w:eastAsia="方正书宋_GBK"/>
                <w:b/>
                <w:sz w:val="21"/>
                <w:szCs w:val="21"/>
              </w:rPr>
            </w:pPr>
          </w:p>
        </w:tc>
        <w:tc>
          <w:tcPr>
            <w:tcW w:w="874" w:type="dxa"/>
            <w:shd w:val="clear" w:color="auto" w:fill="auto"/>
            <w:vAlign w:val="center"/>
          </w:tcPr>
          <w:p>
            <w:pPr>
              <w:spacing w:line="300" w:lineRule="exact"/>
              <w:jc w:val="left"/>
              <w:rPr>
                <w:rFonts w:ascii="方正书宋_GBK" w:eastAsia="方正书宋_GBK"/>
                <w:b/>
                <w:sz w:val="21"/>
                <w:szCs w:val="21"/>
              </w:rPr>
            </w:pPr>
          </w:p>
        </w:tc>
        <w:tc>
          <w:tcPr>
            <w:tcW w:w="951" w:type="dxa"/>
            <w:shd w:val="clear" w:color="auto" w:fill="auto"/>
            <w:vAlign w:val="center"/>
          </w:tcPr>
          <w:p>
            <w:pPr>
              <w:spacing w:line="300" w:lineRule="exact"/>
              <w:jc w:val="left"/>
              <w:rPr>
                <w:rFonts w:ascii="方正书宋_GBK" w:eastAsia="方正书宋_GBK"/>
                <w:b/>
                <w:sz w:val="21"/>
                <w:szCs w:val="21"/>
              </w:rPr>
            </w:pPr>
          </w:p>
        </w:tc>
        <w:tc>
          <w:tcPr>
            <w:tcW w:w="597" w:type="dxa"/>
            <w:shd w:val="clear" w:color="auto" w:fill="auto"/>
            <w:vAlign w:val="center"/>
          </w:tcPr>
          <w:p>
            <w:pPr>
              <w:spacing w:line="300" w:lineRule="exact"/>
              <w:jc w:val="left"/>
              <w:rPr>
                <w:rFonts w:ascii="方正书宋_GBK" w:eastAsia="方正书宋_GBK"/>
                <w:b/>
                <w:sz w:val="21"/>
                <w:szCs w:val="21"/>
              </w:rPr>
            </w:pPr>
          </w:p>
        </w:tc>
        <w:tc>
          <w:tcPr>
            <w:tcW w:w="741" w:type="dxa"/>
            <w:shd w:val="clear" w:color="auto" w:fill="auto"/>
            <w:vAlign w:val="center"/>
          </w:tcPr>
          <w:p>
            <w:pPr>
              <w:spacing w:line="300" w:lineRule="exact"/>
              <w:jc w:val="right"/>
              <w:rPr>
                <w:rFonts w:ascii="方正书宋_GBK" w:eastAsia="方正书宋_GBK"/>
                <w:b/>
                <w:sz w:val="21"/>
                <w:szCs w:val="21"/>
              </w:rPr>
            </w:pPr>
          </w:p>
        </w:tc>
        <w:tc>
          <w:tcPr>
            <w:tcW w:w="950" w:type="dxa"/>
            <w:shd w:val="clear" w:color="auto" w:fill="auto"/>
            <w:vAlign w:val="center"/>
          </w:tcPr>
          <w:p>
            <w:pPr>
              <w:spacing w:line="300" w:lineRule="exact"/>
              <w:jc w:val="right"/>
              <w:rPr>
                <w:rFonts w:ascii="方正书宋_GBK" w:eastAsia="方正书宋_GBK"/>
                <w:b/>
                <w:sz w:val="21"/>
                <w:szCs w:val="21"/>
              </w:rPr>
            </w:pPr>
          </w:p>
        </w:tc>
        <w:tc>
          <w:tcPr>
            <w:tcW w:w="1168" w:type="dxa"/>
            <w:shd w:val="clear" w:color="auto" w:fill="auto"/>
            <w:vAlign w:val="center"/>
          </w:tcPr>
          <w:p>
            <w:pPr>
              <w:spacing w:line="300" w:lineRule="exact"/>
              <w:jc w:val="right"/>
              <w:rPr>
                <w:rFonts w:ascii="方正书宋_GBK" w:eastAsia="方正书宋_GBK"/>
                <w:b/>
                <w:sz w:val="21"/>
                <w:szCs w:val="21"/>
              </w:rPr>
            </w:pPr>
          </w:p>
        </w:tc>
        <w:tc>
          <w:tcPr>
            <w:tcW w:w="1168" w:type="dxa"/>
            <w:shd w:val="clear" w:color="auto" w:fill="auto"/>
            <w:vAlign w:val="center"/>
          </w:tcPr>
          <w:p>
            <w:pPr>
              <w:spacing w:line="300" w:lineRule="exact"/>
              <w:jc w:val="right"/>
              <w:rPr>
                <w:rFonts w:ascii="方正书宋_GBK" w:eastAsia="方正书宋_GBK"/>
                <w:b/>
                <w:sz w:val="21"/>
                <w:szCs w:val="21"/>
              </w:rPr>
            </w:pPr>
          </w:p>
        </w:tc>
        <w:tc>
          <w:tcPr>
            <w:tcW w:w="1168" w:type="dxa"/>
            <w:shd w:val="clear" w:color="auto" w:fill="auto"/>
            <w:vAlign w:val="center"/>
          </w:tcPr>
          <w:p>
            <w:pPr>
              <w:spacing w:line="300" w:lineRule="exact"/>
              <w:jc w:val="right"/>
              <w:rPr>
                <w:rFonts w:ascii="方正书宋_GBK" w:eastAsia="方正书宋_GBK"/>
                <w:b/>
                <w:sz w:val="21"/>
                <w:szCs w:val="21"/>
              </w:rPr>
            </w:pPr>
          </w:p>
        </w:tc>
        <w:tc>
          <w:tcPr>
            <w:tcW w:w="781" w:type="dxa"/>
            <w:shd w:val="clear" w:color="auto" w:fill="auto"/>
            <w:vAlign w:val="center"/>
          </w:tcPr>
          <w:p>
            <w:pPr>
              <w:spacing w:line="300" w:lineRule="exact"/>
              <w:jc w:val="right"/>
              <w:rPr>
                <w:rFonts w:ascii="方正书宋_GBK" w:eastAsia="方正书宋_GBK"/>
                <w:b/>
                <w:sz w:val="21"/>
                <w:szCs w:val="21"/>
              </w:rPr>
            </w:pPr>
          </w:p>
        </w:tc>
        <w:tc>
          <w:tcPr>
            <w:tcW w:w="865" w:type="dxa"/>
            <w:shd w:val="clear" w:color="auto" w:fill="auto"/>
            <w:vAlign w:val="center"/>
          </w:tcPr>
          <w:p>
            <w:pPr>
              <w:spacing w:line="300" w:lineRule="exact"/>
              <w:jc w:val="right"/>
              <w:rPr>
                <w:rFonts w:ascii="方正书宋_GBK" w:eastAsia="方正书宋_GBK"/>
                <w:b/>
                <w:sz w:val="21"/>
                <w:szCs w:val="21"/>
              </w:rPr>
            </w:pPr>
          </w:p>
        </w:tc>
        <w:tc>
          <w:tcPr>
            <w:tcW w:w="868" w:type="dxa"/>
            <w:shd w:val="clear" w:color="auto" w:fill="auto"/>
            <w:vAlign w:val="center"/>
          </w:tcPr>
          <w:p>
            <w:pPr>
              <w:spacing w:line="300" w:lineRule="exact"/>
              <w:jc w:val="right"/>
              <w:rPr>
                <w:rFonts w:ascii="方正书宋_GBK" w:eastAsia="方正书宋_GBK"/>
                <w:b/>
                <w:sz w:val="21"/>
                <w:szCs w:val="21"/>
              </w:rPr>
            </w:pPr>
          </w:p>
        </w:tc>
        <w:tc>
          <w:tcPr>
            <w:tcW w:w="822" w:type="dxa"/>
            <w:shd w:val="clear" w:color="auto" w:fill="auto"/>
            <w:vAlign w:val="center"/>
          </w:tcPr>
          <w:p>
            <w:pPr>
              <w:spacing w:line="300" w:lineRule="exact"/>
              <w:jc w:val="right"/>
              <w:rPr>
                <w:rFonts w:ascii="方正书宋_GBK" w:eastAsia="方正书宋_GBK"/>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饶阳县审计局小计</w:t>
            </w:r>
          </w:p>
        </w:tc>
        <w:tc>
          <w:tcPr>
            <w:tcW w:w="1267" w:type="dxa"/>
            <w:shd w:val="clear" w:color="auto" w:fill="auto"/>
            <w:vAlign w:val="center"/>
          </w:tcPr>
          <w:p>
            <w:pPr>
              <w:spacing w:line="300" w:lineRule="exact"/>
              <w:jc w:val="right"/>
              <w:rPr>
                <w:rFonts w:ascii="方正书宋_GBK" w:eastAsia="方正书宋_GBK"/>
                <w:b/>
                <w:sz w:val="21"/>
                <w:szCs w:val="21"/>
              </w:rPr>
            </w:pPr>
          </w:p>
        </w:tc>
        <w:tc>
          <w:tcPr>
            <w:tcW w:w="874" w:type="dxa"/>
            <w:shd w:val="clear" w:color="auto" w:fill="auto"/>
            <w:vAlign w:val="center"/>
          </w:tcPr>
          <w:p>
            <w:pPr>
              <w:spacing w:line="300" w:lineRule="exact"/>
              <w:jc w:val="left"/>
              <w:rPr>
                <w:rFonts w:ascii="方正书宋_GBK" w:eastAsia="方正书宋_GBK"/>
                <w:b/>
                <w:sz w:val="21"/>
                <w:szCs w:val="21"/>
              </w:rPr>
            </w:pPr>
          </w:p>
        </w:tc>
        <w:tc>
          <w:tcPr>
            <w:tcW w:w="951" w:type="dxa"/>
            <w:shd w:val="clear" w:color="auto" w:fill="auto"/>
            <w:vAlign w:val="center"/>
          </w:tcPr>
          <w:p>
            <w:pPr>
              <w:spacing w:line="300" w:lineRule="exact"/>
              <w:jc w:val="left"/>
              <w:rPr>
                <w:rFonts w:ascii="方正书宋_GBK" w:eastAsia="方正书宋_GBK"/>
                <w:b/>
                <w:sz w:val="21"/>
                <w:szCs w:val="21"/>
              </w:rPr>
            </w:pPr>
          </w:p>
        </w:tc>
        <w:tc>
          <w:tcPr>
            <w:tcW w:w="597" w:type="dxa"/>
            <w:shd w:val="clear" w:color="auto" w:fill="auto"/>
            <w:vAlign w:val="center"/>
          </w:tcPr>
          <w:p>
            <w:pPr>
              <w:spacing w:line="300" w:lineRule="exact"/>
              <w:jc w:val="left"/>
              <w:rPr>
                <w:rFonts w:ascii="方正书宋_GBK" w:eastAsia="方正书宋_GBK"/>
                <w:b/>
                <w:sz w:val="21"/>
                <w:szCs w:val="21"/>
              </w:rPr>
            </w:pPr>
          </w:p>
        </w:tc>
        <w:tc>
          <w:tcPr>
            <w:tcW w:w="741" w:type="dxa"/>
            <w:shd w:val="clear" w:color="auto" w:fill="auto"/>
            <w:vAlign w:val="center"/>
          </w:tcPr>
          <w:p>
            <w:pPr>
              <w:spacing w:line="300" w:lineRule="exact"/>
              <w:jc w:val="right"/>
              <w:rPr>
                <w:rFonts w:ascii="方正书宋_GBK" w:eastAsia="方正书宋_GBK"/>
                <w:b/>
                <w:sz w:val="21"/>
                <w:szCs w:val="21"/>
              </w:rPr>
            </w:pPr>
          </w:p>
        </w:tc>
        <w:tc>
          <w:tcPr>
            <w:tcW w:w="950" w:type="dxa"/>
            <w:shd w:val="clear" w:color="auto" w:fill="auto"/>
            <w:vAlign w:val="center"/>
          </w:tcPr>
          <w:p>
            <w:pPr>
              <w:spacing w:line="300" w:lineRule="exact"/>
              <w:jc w:val="right"/>
              <w:rPr>
                <w:rFonts w:ascii="方正书宋_GBK" w:eastAsia="方正书宋_GBK"/>
                <w:b/>
                <w:sz w:val="21"/>
                <w:szCs w:val="21"/>
              </w:rPr>
            </w:pPr>
          </w:p>
        </w:tc>
        <w:tc>
          <w:tcPr>
            <w:tcW w:w="1168" w:type="dxa"/>
            <w:shd w:val="clear" w:color="auto" w:fill="auto"/>
            <w:vAlign w:val="center"/>
          </w:tcPr>
          <w:p>
            <w:pPr>
              <w:spacing w:line="300" w:lineRule="exact"/>
              <w:jc w:val="right"/>
              <w:rPr>
                <w:rFonts w:ascii="方正书宋_GBK" w:eastAsia="方正书宋_GBK"/>
                <w:b/>
                <w:sz w:val="21"/>
                <w:szCs w:val="21"/>
              </w:rPr>
            </w:pPr>
            <w:r>
              <w:rPr>
                <w:rFonts w:hint="eastAsia" w:ascii="方正书宋_GBK" w:eastAsia="方正书宋_GBK"/>
                <w:b/>
                <w:sz w:val="21"/>
                <w:szCs w:val="21"/>
              </w:rPr>
              <w:t>4.00</w:t>
            </w:r>
          </w:p>
        </w:tc>
        <w:tc>
          <w:tcPr>
            <w:tcW w:w="1168" w:type="dxa"/>
            <w:shd w:val="clear" w:color="auto" w:fill="auto"/>
            <w:vAlign w:val="center"/>
          </w:tcPr>
          <w:p>
            <w:pPr>
              <w:spacing w:line="300" w:lineRule="exact"/>
              <w:jc w:val="right"/>
              <w:rPr>
                <w:rFonts w:ascii="方正书宋_GBK" w:eastAsia="方正书宋_GBK"/>
                <w:b/>
                <w:sz w:val="21"/>
                <w:szCs w:val="21"/>
              </w:rPr>
            </w:pPr>
            <w:r>
              <w:rPr>
                <w:rFonts w:hint="eastAsia" w:ascii="方正书宋_GBK" w:eastAsia="方正书宋_GBK"/>
                <w:b/>
                <w:sz w:val="21"/>
                <w:szCs w:val="21"/>
              </w:rPr>
              <w:t>4.00</w:t>
            </w:r>
          </w:p>
        </w:tc>
        <w:tc>
          <w:tcPr>
            <w:tcW w:w="1168" w:type="dxa"/>
            <w:shd w:val="clear" w:color="auto" w:fill="auto"/>
            <w:vAlign w:val="center"/>
          </w:tcPr>
          <w:p>
            <w:pPr>
              <w:spacing w:line="300" w:lineRule="exact"/>
              <w:jc w:val="right"/>
              <w:rPr>
                <w:rFonts w:ascii="方正书宋_GBK" w:eastAsia="方正书宋_GBK"/>
                <w:b/>
                <w:sz w:val="21"/>
                <w:szCs w:val="21"/>
              </w:rPr>
            </w:pPr>
            <w:r>
              <w:rPr>
                <w:rFonts w:hint="eastAsia" w:ascii="方正书宋_GBK" w:eastAsia="方正书宋_GBK"/>
                <w:b/>
                <w:sz w:val="21"/>
                <w:szCs w:val="21"/>
              </w:rPr>
              <w:t>4.00</w:t>
            </w:r>
          </w:p>
        </w:tc>
        <w:tc>
          <w:tcPr>
            <w:tcW w:w="781" w:type="dxa"/>
            <w:shd w:val="clear" w:color="auto" w:fill="auto"/>
            <w:vAlign w:val="center"/>
          </w:tcPr>
          <w:p>
            <w:pPr>
              <w:spacing w:line="300" w:lineRule="exact"/>
              <w:jc w:val="right"/>
              <w:rPr>
                <w:rFonts w:ascii="方正书宋_GBK" w:eastAsia="方正书宋_GBK"/>
                <w:b/>
                <w:sz w:val="21"/>
                <w:szCs w:val="21"/>
              </w:rPr>
            </w:pPr>
          </w:p>
        </w:tc>
        <w:tc>
          <w:tcPr>
            <w:tcW w:w="865" w:type="dxa"/>
            <w:shd w:val="clear" w:color="auto" w:fill="auto"/>
            <w:vAlign w:val="center"/>
          </w:tcPr>
          <w:p>
            <w:pPr>
              <w:spacing w:line="300" w:lineRule="exact"/>
              <w:jc w:val="right"/>
              <w:rPr>
                <w:rFonts w:ascii="方正书宋_GBK" w:eastAsia="方正书宋_GBK"/>
                <w:b/>
                <w:sz w:val="21"/>
                <w:szCs w:val="21"/>
              </w:rPr>
            </w:pPr>
          </w:p>
        </w:tc>
        <w:tc>
          <w:tcPr>
            <w:tcW w:w="868" w:type="dxa"/>
            <w:shd w:val="clear" w:color="auto" w:fill="auto"/>
            <w:vAlign w:val="center"/>
          </w:tcPr>
          <w:p>
            <w:pPr>
              <w:spacing w:line="300" w:lineRule="exact"/>
              <w:jc w:val="right"/>
              <w:rPr>
                <w:rFonts w:ascii="方正书宋_GBK" w:eastAsia="方正书宋_GBK"/>
                <w:b/>
                <w:sz w:val="21"/>
                <w:szCs w:val="21"/>
              </w:rPr>
            </w:pPr>
          </w:p>
        </w:tc>
        <w:tc>
          <w:tcPr>
            <w:tcW w:w="822" w:type="dxa"/>
            <w:shd w:val="clear" w:color="auto" w:fill="auto"/>
            <w:vAlign w:val="center"/>
          </w:tcPr>
          <w:p>
            <w:pPr>
              <w:spacing w:line="300" w:lineRule="exact"/>
              <w:jc w:val="right"/>
              <w:rPr>
                <w:rFonts w:ascii="方正书宋_GBK" w:eastAsia="方正书宋_GBK"/>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1267"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4.00</w:t>
            </w:r>
          </w:p>
        </w:tc>
        <w:tc>
          <w:tcPr>
            <w:tcW w:w="8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951"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597"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台</w:t>
            </w:r>
          </w:p>
        </w:tc>
        <w:tc>
          <w:tcPr>
            <w:tcW w:w="741"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5</w:t>
            </w:r>
          </w:p>
        </w:tc>
        <w:tc>
          <w:tcPr>
            <w:tcW w:w="950"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0.4</w:t>
            </w:r>
          </w:p>
        </w:tc>
        <w:tc>
          <w:tcPr>
            <w:tcW w:w="1168"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2.00</w:t>
            </w:r>
          </w:p>
        </w:tc>
        <w:tc>
          <w:tcPr>
            <w:tcW w:w="1168"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2.00</w:t>
            </w:r>
          </w:p>
        </w:tc>
        <w:tc>
          <w:tcPr>
            <w:tcW w:w="1168"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2.00</w:t>
            </w:r>
          </w:p>
        </w:tc>
        <w:tc>
          <w:tcPr>
            <w:tcW w:w="781" w:type="dxa"/>
            <w:shd w:val="clear" w:color="auto" w:fill="auto"/>
            <w:vAlign w:val="center"/>
          </w:tcPr>
          <w:p>
            <w:pPr>
              <w:spacing w:line="300" w:lineRule="exact"/>
              <w:jc w:val="right"/>
              <w:rPr>
                <w:rFonts w:ascii="方正书宋_GBK" w:eastAsia="方正书宋_GBK"/>
                <w:sz w:val="21"/>
                <w:szCs w:val="21"/>
              </w:rPr>
            </w:pPr>
          </w:p>
        </w:tc>
        <w:tc>
          <w:tcPr>
            <w:tcW w:w="865" w:type="dxa"/>
            <w:shd w:val="clear" w:color="auto" w:fill="auto"/>
            <w:vAlign w:val="center"/>
          </w:tcPr>
          <w:p>
            <w:pPr>
              <w:spacing w:line="300" w:lineRule="exact"/>
              <w:jc w:val="right"/>
              <w:rPr>
                <w:rFonts w:ascii="方正书宋_GBK" w:eastAsia="方正书宋_GBK"/>
                <w:sz w:val="21"/>
                <w:szCs w:val="21"/>
              </w:rPr>
            </w:pPr>
          </w:p>
        </w:tc>
        <w:tc>
          <w:tcPr>
            <w:tcW w:w="868" w:type="dxa"/>
            <w:shd w:val="clear" w:color="auto" w:fill="auto"/>
            <w:vAlign w:val="center"/>
          </w:tcPr>
          <w:p>
            <w:pPr>
              <w:spacing w:line="300" w:lineRule="exact"/>
              <w:jc w:val="right"/>
              <w:rPr>
                <w:rFonts w:ascii="方正书宋_GBK" w:eastAsia="方正书宋_GBK"/>
                <w:sz w:val="21"/>
                <w:szCs w:val="21"/>
              </w:rPr>
            </w:pPr>
          </w:p>
        </w:tc>
        <w:tc>
          <w:tcPr>
            <w:tcW w:w="822" w:type="dxa"/>
            <w:shd w:val="clear" w:color="auto" w:fill="auto"/>
            <w:vAlign w:val="center"/>
          </w:tcPr>
          <w:p>
            <w:pPr>
              <w:spacing w:line="300" w:lineRule="exact"/>
              <w:jc w:val="right"/>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1267"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4.00</w:t>
            </w:r>
          </w:p>
        </w:tc>
        <w:tc>
          <w:tcPr>
            <w:tcW w:w="8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951"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597"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台</w:t>
            </w:r>
          </w:p>
        </w:tc>
        <w:tc>
          <w:tcPr>
            <w:tcW w:w="741"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2</w:t>
            </w:r>
          </w:p>
        </w:tc>
        <w:tc>
          <w:tcPr>
            <w:tcW w:w="950"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0.5</w:t>
            </w:r>
          </w:p>
        </w:tc>
        <w:tc>
          <w:tcPr>
            <w:tcW w:w="1168"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1.00</w:t>
            </w:r>
          </w:p>
        </w:tc>
        <w:tc>
          <w:tcPr>
            <w:tcW w:w="1168"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1.00</w:t>
            </w:r>
          </w:p>
        </w:tc>
        <w:tc>
          <w:tcPr>
            <w:tcW w:w="1168"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1.00</w:t>
            </w:r>
          </w:p>
        </w:tc>
        <w:tc>
          <w:tcPr>
            <w:tcW w:w="781" w:type="dxa"/>
            <w:shd w:val="clear" w:color="auto" w:fill="auto"/>
            <w:vAlign w:val="center"/>
          </w:tcPr>
          <w:p>
            <w:pPr>
              <w:spacing w:line="300" w:lineRule="exact"/>
              <w:jc w:val="right"/>
              <w:rPr>
                <w:rFonts w:ascii="方正书宋_GBK" w:eastAsia="方正书宋_GBK"/>
                <w:sz w:val="21"/>
                <w:szCs w:val="21"/>
              </w:rPr>
            </w:pPr>
          </w:p>
        </w:tc>
        <w:tc>
          <w:tcPr>
            <w:tcW w:w="865" w:type="dxa"/>
            <w:shd w:val="clear" w:color="auto" w:fill="auto"/>
            <w:vAlign w:val="center"/>
          </w:tcPr>
          <w:p>
            <w:pPr>
              <w:spacing w:line="300" w:lineRule="exact"/>
              <w:jc w:val="right"/>
              <w:rPr>
                <w:rFonts w:ascii="方正书宋_GBK" w:eastAsia="方正书宋_GBK"/>
                <w:sz w:val="21"/>
                <w:szCs w:val="21"/>
              </w:rPr>
            </w:pPr>
          </w:p>
        </w:tc>
        <w:tc>
          <w:tcPr>
            <w:tcW w:w="868" w:type="dxa"/>
            <w:shd w:val="clear" w:color="auto" w:fill="auto"/>
            <w:vAlign w:val="center"/>
          </w:tcPr>
          <w:p>
            <w:pPr>
              <w:spacing w:line="300" w:lineRule="exact"/>
              <w:jc w:val="right"/>
              <w:rPr>
                <w:rFonts w:ascii="方正书宋_GBK" w:eastAsia="方正书宋_GBK"/>
                <w:sz w:val="21"/>
                <w:szCs w:val="21"/>
              </w:rPr>
            </w:pPr>
          </w:p>
        </w:tc>
        <w:tc>
          <w:tcPr>
            <w:tcW w:w="822" w:type="dxa"/>
            <w:shd w:val="clear" w:color="auto" w:fill="auto"/>
            <w:vAlign w:val="center"/>
          </w:tcPr>
          <w:p>
            <w:pPr>
              <w:spacing w:line="300" w:lineRule="exact"/>
              <w:jc w:val="right"/>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1267"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4.00</w:t>
            </w:r>
          </w:p>
        </w:tc>
        <w:tc>
          <w:tcPr>
            <w:tcW w:w="8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951"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597"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台</w:t>
            </w:r>
          </w:p>
        </w:tc>
        <w:tc>
          <w:tcPr>
            <w:tcW w:w="741"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2</w:t>
            </w:r>
          </w:p>
        </w:tc>
        <w:tc>
          <w:tcPr>
            <w:tcW w:w="950"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0.5</w:t>
            </w:r>
          </w:p>
        </w:tc>
        <w:tc>
          <w:tcPr>
            <w:tcW w:w="1168"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1.00</w:t>
            </w:r>
          </w:p>
        </w:tc>
        <w:tc>
          <w:tcPr>
            <w:tcW w:w="1168"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1.00</w:t>
            </w:r>
          </w:p>
        </w:tc>
        <w:tc>
          <w:tcPr>
            <w:tcW w:w="1168" w:type="dxa"/>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1.00</w:t>
            </w:r>
          </w:p>
        </w:tc>
        <w:tc>
          <w:tcPr>
            <w:tcW w:w="781" w:type="dxa"/>
            <w:shd w:val="clear" w:color="auto" w:fill="auto"/>
            <w:vAlign w:val="center"/>
          </w:tcPr>
          <w:p>
            <w:pPr>
              <w:spacing w:line="300" w:lineRule="exact"/>
              <w:jc w:val="right"/>
              <w:rPr>
                <w:rFonts w:ascii="方正书宋_GBK" w:eastAsia="方正书宋_GBK"/>
                <w:sz w:val="21"/>
                <w:szCs w:val="21"/>
              </w:rPr>
            </w:pPr>
          </w:p>
        </w:tc>
        <w:tc>
          <w:tcPr>
            <w:tcW w:w="865" w:type="dxa"/>
            <w:shd w:val="clear" w:color="auto" w:fill="auto"/>
            <w:vAlign w:val="center"/>
          </w:tcPr>
          <w:p>
            <w:pPr>
              <w:spacing w:line="300" w:lineRule="exact"/>
              <w:jc w:val="right"/>
              <w:rPr>
                <w:rFonts w:ascii="方正书宋_GBK" w:eastAsia="方正书宋_GBK"/>
                <w:sz w:val="21"/>
                <w:szCs w:val="21"/>
              </w:rPr>
            </w:pPr>
          </w:p>
        </w:tc>
        <w:tc>
          <w:tcPr>
            <w:tcW w:w="868" w:type="dxa"/>
            <w:shd w:val="clear" w:color="auto" w:fill="auto"/>
            <w:vAlign w:val="center"/>
          </w:tcPr>
          <w:p>
            <w:pPr>
              <w:spacing w:line="300" w:lineRule="exact"/>
              <w:jc w:val="right"/>
              <w:rPr>
                <w:rFonts w:ascii="方正书宋_GBK" w:eastAsia="方正书宋_GBK"/>
                <w:sz w:val="21"/>
                <w:szCs w:val="21"/>
              </w:rPr>
            </w:pPr>
          </w:p>
        </w:tc>
        <w:tc>
          <w:tcPr>
            <w:tcW w:w="822" w:type="dxa"/>
            <w:shd w:val="clear" w:color="auto" w:fill="auto"/>
            <w:vAlign w:val="center"/>
          </w:tcPr>
          <w:p>
            <w:pPr>
              <w:spacing w:line="300" w:lineRule="exact"/>
              <w:jc w:val="right"/>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48" w:type="dxa"/>
            <w:shd w:val="clear" w:color="auto" w:fill="auto"/>
            <w:vAlign w:val="center"/>
          </w:tcPr>
          <w:p>
            <w:pPr>
              <w:spacing w:line="300" w:lineRule="exact"/>
              <w:jc w:val="left"/>
              <w:rPr>
                <w:rFonts w:ascii="方正书宋_GBK" w:eastAsia="方正书宋_GBK"/>
              </w:rPr>
            </w:pPr>
          </w:p>
        </w:tc>
        <w:tc>
          <w:tcPr>
            <w:tcW w:w="1267" w:type="dxa"/>
            <w:shd w:val="clear" w:color="auto" w:fill="auto"/>
            <w:vAlign w:val="center"/>
          </w:tcPr>
          <w:p>
            <w:pPr>
              <w:spacing w:line="300" w:lineRule="exact"/>
              <w:jc w:val="right"/>
              <w:rPr>
                <w:rFonts w:ascii="方正书宋_GBK" w:eastAsia="方正书宋_GBK"/>
                <w:sz w:val="21"/>
                <w:szCs w:val="21"/>
              </w:rPr>
            </w:pPr>
          </w:p>
        </w:tc>
        <w:tc>
          <w:tcPr>
            <w:tcW w:w="874" w:type="dxa"/>
            <w:shd w:val="clear" w:color="auto" w:fill="auto"/>
            <w:vAlign w:val="center"/>
          </w:tcPr>
          <w:p>
            <w:pPr>
              <w:spacing w:line="300" w:lineRule="exact"/>
              <w:jc w:val="left"/>
              <w:rPr>
                <w:rFonts w:ascii="方正书宋_GBK" w:eastAsia="方正书宋_GBK"/>
                <w:sz w:val="21"/>
                <w:szCs w:val="21"/>
              </w:rPr>
            </w:pPr>
          </w:p>
        </w:tc>
        <w:tc>
          <w:tcPr>
            <w:tcW w:w="951" w:type="dxa"/>
            <w:shd w:val="clear" w:color="auto" w:fill="auto"/>
            <w:vAlign w:val="center"/>
          </w:tcPr>
          <w:p>
            <w:pPr>
              <w:spacing w:line="300" w:lineRule="exact"/>
              <w:jc w:val="left"/>
              <w:rPr>
                <w:rFonts w:ascii="方正书宋_GBK" w:eastAsia="方正书宋_GBK"/>
                <w:sz w:val="21"/>
                <w:szCs w:val="21"/>
              </w:rPr>
            </w:pPr>
          </w:p>
        </w:tc>
        <w:tc>
          <w:tcPr>
            <w:tcW w:w="597" w:type="dxa"/>
            <w:shd w:val="clear" w:color="auto" w:fill="auto"/>
            <w:vAlign w:val="center"/>
          </w:tcPr>
          <w:p>
            <w:pPr>
              <w:spacing w:line="300" w:lineRule="exact"/>
              <w:jc w:val="left"/>
              <w:rPr>
                <w:rFonts w:ascii="方正书宋_GBK" w:eastAsia="方正书宋_GBK"/>
                <w:sz w:val="21"/>
                <w:szCs w:val="21"/>
              </w:rPr>
            </w:pPr>
          </w:p>
        </w:tc>
        <w:tc>
          <w:tcPr>
            <w:tcW w:w="741" w:type="dxa"/>
            <w:shd w:val="clear" w:color="auto" w:fill="auto"/>
            <w:vAlign w:val="center"/>
          </w:tcPr>
          <w:p>
            <w:pPr>
              <w:spacing w:line="300" w:lineRule="exact"/>
              <w:jc w:val="right"/>
              <w:rPr>
                <w:rFonts w:ascii="方正书宋_GBK" w:eastAsia="方正书宋_GBK"/>
                <w:sz w:val="21"/>
                <w:szCs w:val="21"/>
              </w:rPr>
            </w:pPr>
          </w:p>
        </w:tc>
        <w:tc>
          <w:tcPr>
            <w:tcW w:w="950" w:type="dxa"/>
            <w:shd w:val="clear" w:color="auto" w:fill="auto"/>
            <w:vAlign w:val="center"/>
          </w:tcPr>
          <w:p>
            <w:pPr>
              <w:spacing w:line="300" w:lineRule="exact"/>
              <w:jc w:val="right"/>
              <w:rPr>
                <w:rFonts w:ascii="方正书宋_GBK" w:eastAsia="方正书宋_GBK"/>
                <w:sz w:val="21"/>
                <w:szCs w:val="21"/>
              </w:rPr>
            </w:pPr>
          </w:p>
        </w:tc>
        <w:tc>
          <w:tcPr>
            <w:tcW w:w="1168" w:type="dxa"/>
            <w:shd w:val="clear" w:color="auto" w:fill="auto"/>
            <w:vAlign w:val="center"/>
          </w:tcPr>
          <w:p>
            <w:pPr>
              <w:spacing w:line="300" w:lineRule="exact"/>
              <w:jc w:val="right"/>
              <w:rPr>
                <w:rFonts w:ascii="方正书宋_GBK" w:eastAsia="方正书宋_GBK"/>
                <w:sz w:val="21"/>
                <w:szCs w:val="21"/>
              </w:rPr>
            </w:pPr>
          </w:p>
        </w:tc>
        <w:tc>
          <w:tcPr>
            <w:tcW w:w="1168" w:type="dxa"/>
            <w:shd w:val="clear" w:color="auto" w:fill="auto"/>
            <w:vAlign w:val="center"/>
          </w:tcPr>
          <w:p>
            <w:pPr>
              <w:spacing w:line="300" w:lineRule="exact"/>
              <w:jc w:val="right"/>
              <w:rPr>
                <w:rFonts w:ascii="方正书宋_GBK" w:eastAsia="方正书宋_GBK"/>
                <w:sz w:val="21"/>
                <w:szCs w:val="21"/>
              </w:rPr>
            </w:pPr>
          </w:p>
        </w:tc>
        <w:tc>
          <w:tcPr>
            <w:tcW w:w="1168" w:type="dxa"/>
            <w:shd w:val="clear" w:color="auto" w:fill="auto"/>
            <w:vAlign w:val="center"/>
          </w:tcPr>
          <w:p>
            <w:pPr>
              <w:spacing w:line="300" w:lineRule="exact"/>
              <w:jc w:val="right"/>
              <w:rPr>
                <w:rFonts w:ascii="方正书宋_GBK" w:eastAsia="方正书宋_GBK"/>
                <w:sz w:val="21"/>
                <w:szCs w:val="21"/>
              </w:rPr>
            </w:pPr>
          </w:p>
        </w:tc>
        <w:tc>
          <w:tcPr>
            <w:tcW w:w="781" w:type="dxa"/>
            <w:shd w:val="clear" w:color="auto" w:fill="auto"/>
            <w:vAlign w:val="center"/>
          </w:tcPr>
          <w:p>
            <w:pPr>
              <w:spacing w:line="300" w:lineRule="exact"/>
              <w:jc w:val="right"/>
              <w:rPr>
                <w:rFonts w:ascii="方正书宋_GBK" w:eastAsia="方正书宋_GBK"/>
                <w:sz w:val="21"/>
                <w:szCs w:val="21"/>
              </w:rPr>
            </w:pPr>
          </w:p>
        </w:tc>
        <w:tc>
          <w:tcPr>
            <w:tcW w:w="865" w:type="dxa"/>
            <w:shd w:val="clear" w:color="auto" w:fill="auto"/>
            <w:vAlign w:val="center"/>
          </w:tcPr>
          <w:p>
            <w:pPr>
              <w:spacing w:line="300" w:lineRule="exact"/>
              <w:jc w:val="right"/>
              <w:rPr>
                <w:rFonts w:ascii="方正书宋_GBK" w:eastAsia="方正书宋_GBK"/>
                <w:sz w:val="21"/>
                <w:szCs w:val="21"/>
              </w:rPr>
            </w:pPr>
          </w:p>
        </w:tc>
        <w:tc>
          <w:tcPr>
            <w:tcW w:w="868" w:type="dxa"/>
            <w:shd w:val="clear" w:color="auto" w:fill="auto"/>
            <w:vAlign w:val="center"/>
          </w:tcPr>
          <w:p>
            <w:pPr>
              <w:spacing w:line="300" w:lineRule="exact"/>
              <w:jc w:val="right"/>
              <w:rPr>
                <w:rFonts w:ascii="方正书宋_GBK" w:eastAsia="方正书宋_GBK"/>
                <w:sz w:val="21"/>
                <w:szCs w:val="21"/>
              </w:rPr>
            </w:pPr>
          </w:p>
        </w:tc>
        <w:tc>
          <w:tcPr>
            <w:tcW w:w="822" w:type="dxa"/>
            <w:shd w:val="clear" w:color="auto" w:fill="auto"/>
            <w:vAlign w:val="center"/>
          </w:tcPr>
          <w:p>
            <w:pPr>
              <w:spacing w:line="300" w:lineRule="exact"/>
              <w:jc w:val="right"/>
              <w:rPr>
                <w:rFonts w:ascii="方正书宋_GBK" w:eastAsia="方正书宋_GBK"/>
                <w:sz w:val="21"/>
                <w:szCs w:val="21"/>
              </w:rPr>
            </w:pPr>
          </w:p>
        </w:tc>
      </w:tr>
    </w:tbl>
    <w:p>
      <w:pPr>
        <w:spacing w:line="300" w:lineRule="exact"/>
        <w:jc w:val="left"/>
        <w:outlineLvl w:val="0"/>
        <w:rPr>
          <w:rFonts w:cs="Times New Roman"/>
          <w:sz w:val="21"/>
          <w:szCs w:val="21"/>
        </w:rPr>
        <w:sectPr>
          <w:pgSz w:w="16839" w:h="11907" w:orient="landscape"/>
          <w:pgMar w:top="1361" w:right="1020" w:bottom="1361" w:left="1020" w:header="851" w:footer="992" w:gutter="0"/>
          <w:cols w:space="425" w:num="1"/>
          <w:docGrid w:type="lines" w:linePitch="312" w:charSpace="0"/>
        </w:sectPr>
      </w:pPr>
    </w:p>
    <w:p>
      <w:pPr>
        <w:ind w:firstLine="643" w:firstLineChars="200"/>
        <w:rPr>
          <w:rFonts w:cs="Times New Roman"/>
          <w:b/>
          <w:bCs/>
        </w:rPr>
      </w:pPr>
      <w:r>
        <w:rPr>
          <w:b/>
          <w:bCs/>
        </w:rPr>
        <w:t>7</w:t>
      </w:r>
      <w:r>
        <w:rPr>
          <w:rFonts w:hint="eastAsia" w:cs="仿宋_GB2312"/>
          <w:b/>
          <w:bCs/>
        </w:rPr>
        <w:t>、国有资产信息</w:t>
      </w:r>
    </w:p>
    <w:p>
      <w:pPr>
        <w:ind w:firstLine="640" w:firstLineChars="200"/>
        <w:rPr>
          <w:highlight w:val="red"/>
        </w:rPr>
      </w:pPr>
      <w:r>
        <w:t>上年末固定资产金额为</w:t>
      </w:r>
      <w:r>
        <w:rPr>
          <w:rFonts w:hint="eastAsia"/>
        </w:rPr>
        <w:t>147.00</w:t>
      </w:r>
      <w:r>
        <w:t>万元（详见下表），本年度拟购置固定资产主要</w:t>
      </w:r>
      <w:r>
        <w:rPr>
          <w:rFonts w:hint="eastAsia"/>
        </w:rPr>
        <w:t>是</w:t>
      </w:r>
      <w:r>
        <w:rPr>
          <w:rFonts w:hint="eastAsia" w:cs="仿宋_GB2312"/>
        </w:rPr>
        <w:t>购置计算机</w:t>
      </w:r>
      <w:r>
        <w:rPr>
          <w:rFonts w:hint="eastAsia"/>
        </w:rPr>
        <w:t>5</w:t>
      </w:r>
      <w:r>
        <w:rPr>
          <w:rFonts w:hint="eastAsia" w:cs="仿宋_GB2312"/>
        </w:rPr>
        <w:t>台</w:t>
      </w:r>
      <w:r>
        <w:rPr>
          <w:rFonts w:hint="eastAsia"/>
        </w:rPr>
        <w:t>2</w:t>
      </w:r>
      <w:r>
        <w:rPr>
          <w:rFonts w:hint="eastAsia" w:cs="仿宋_GB2312"/>
        </w:rPr>
        <w:t>万元、打印设备4台2万元</w:t>
      </w:r>
      <w:r>
        <w:rPr>
          <w:rFonts w:hint="eastAsia" w:cs="仿宋_GB2312"/>
          <w:lang w:eastAsia="zh-CN"/>
        </w:rPr>
        <w:t>，合</w:t>
      </w:r>
      <w:r>
        <w:rPr>
          <w:rFonts w:hint="eastAsia" w:cs="仿宋_GB2312"/>
        </w:rPr>
        <w:t>计4万元，</w:t>
      </w:r>
      <w:r>
        <w:rPr>
          <w:rFonts w:hint="eastAsia"/>
        </w:rPr>
        <w:t>已列入政府采购预算，详见政府采购预算表。</w:t>
      </w:r>
    </w:p>
    <w:p>
      <w:pPr>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rPr>
        <w:t>饶阳县审计局固定资产占用情况表</w:t>
      </w:r>
    </w:p>
    <w:p>
      <w:pPr>
        <w:jc w:val="left"/>
        <w:rPr>
          <w:rFonts w:cs="Times New Roman"/>
          <w:sz w:val="28"/>
          <w:szCs w:val="28"/>
        </w:rPr>
      </w:pPr>
      <w:r>
        <w:rPr>
          <w:rFonts w:hint="eastAsia" w:cs="仿宋_GB2312"/>
          <w:sz w:val="28"/>
          <w:szCs w:val="28"/>
        </w:rPr>
        <w:t>编制部门：饶阳县审计局</w:t>
      </w:r>
      <w:r>
        <w:rPr>
          <w:sz w:val="28"/>
          <w:szCs w:val="28"/>
        </w:rPr>
        <w:t xml:space="preserve"> </w:t>
      </w:r>
      <w:r>
        <w:rPr>
          <w:color w:val="FF0000"/>
          <w:sz w:val="28"/>
          <w:szCs w:val="28"/>
        </w:rPr>
        <w:t xml:space="preserve">          </w:t>
      </w:r>
      <w:r>
        <w:rPr>
          <w:rFonts w:hint="eastAsia" w:cs="仿宋_GB2312"/>
          <w:sz w:val="28"/>
          <w:szCs w:val="28"/>
        </w:rPr>
        <w:t>截止时间：</w:t>
      </w:r>
      <w:r>
        <w:rPr>
          <w:sz w:val="28"/>
          <w:szCs w:val="28"/>
        </w:rPr>
        <w:t>201</w:t>
      </w:r>
      <w:r>
        <w:rPr>
          <w:rFonts w:hint="eastAsia"/>
          <w:sz w:val="28"/>
          <w:szCs w:val="28"/>
        </w:rPr>
        <w:t>8</w:t>
      </w:r>
      <w:r>
        <w:rPr>
          <w:rFonts w:hint="eastAsia" w:cs="仿宋_GB2312"/>
          <w:sz w:val="28"/>
          <w:szCs w:val="28"/>
        </w:rPr>
        <w:t>年</w:t>
      </w:r>
      <w:r>
        <w:rPr>
          <w:sz w:val="28"/>
          <w:szCs w:val="28"/>
        </w:rPr>
        <w:t>12</w:t>
      </w:r>
      <w:r>
        <w:rPr>
          <w:rFonts w:hint="eastAsia" w:cs="仿宋_GB2312"/>
          <w:sz w:val="28"/>
          <w:szCs w:val="28"/>
        </w:rPr>
        <w:t>月</w:t>
      </w:r>
      <w:r>
        <w:rPr>
          <w:sz w:val="28"/>
          <w:szCs w:val="28"/>
        </w:rPr>
        <w:t>31</w:t>
      </w:r>
      <w:r>
        <w:rPr>
          <w:rFonts w:hint="eastAsia" w:cs="仿宋_GB2312"/>
          <w:sz w:val="28"/>
          <w:szCs w:val="28"/>
        </w:rPr>
        <w:t>日</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46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jc w:val="center"/>
              <w:rPr>
                <w:rFonts w:cs="Times New Roman"/>
              </w:rPr>
            </w:pPr>
            <w:r>
              <w:rPr>
                <w:rFonts w:hint="eastAsia" w:cs="仿宋_GB2312"/>
              </w:rPr>
              <w:t>项目</w:t>
            </w:r>
          </w:p>
        </w:tc>
        <w:tc>
          <w:tcPr>
            <w:tcW w:w="1462" w:type="dxa"/>
          </w:tcPr>
          <w:p>
            <w:pPr>
              <w:jc w:val="center"/>
              <w:rPr>
                <w:rFonts w:cs="Times New Roman"/>
              </w:rPr>
            </w:pPr>
            <w:r>
              <w:rPr>
                <w:rFonts w:hint="eastAsia" w:cs="仿宋_GB2312"/>
              </w:rPr>
              <w:t>数量</w:t>
            </w:r>
          </w:p>
        </w:tc>
        <w:tc>
          <w:tcPr>
            <w:tcW w:w="2841" w:type="dxa"/>
          </w:tcPr>
          <w:p>
            <w:pPr>
              <w:jc w:val="center"/>
              <w:rPr>
                <w:rFonts w:cs="仿宋_GB2312"/>
              </w:rPr>
            </w:pPr>
            <w:r>
              <w:rPr>
                <w:rFonts w:hint="eastAsia" w:cs="仿宋_GB2312"/>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rPr>
                <w:rFonts w:cs="Times New Roman"/>
              </w:rPr>
            </w:pPr>
            <w:r>
              <w:rPr>
                <w:rFonts w:hint="eastAsia" w:cs="仿宋_GB2312"/>
              </w:rPr>
              <w:t>资产总额</w:t>
            </w:r>
          </w:p>
        </w:tc>
        <w:tc>
          <w:tcPr>
            <w:tcW w:w="1462" w:type="dxa"/>
          </w:tcPr>
          <w:p>
            <w:r>
              <w:t>——</w:t>
            </w:r>
          </w:p>
        </w:tc>
        <w:tc>
          <w:tcPr>
            <w:tcW w:w="2841" w:type="dxa"/>
          </w:tcPr>
          <w:p>
            <w:pPr>
              <w:rPr>
                <w:rFonts w:cs="Times New Roman"/>
                <w:color w:val="0070C0"/>
              </w:rPr>
            </w:pPr>
            <w:r>
              <w:rPr>
                <w:rFonts w:hint="eastAsia" w:cs="Times New Roman"/>
                <w:color w:val="auto"/>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rPr>
                <w:rFonts w:cs="Times New Roman"/>
              </w:rPr>
            </w:pPr>
            <w:r>
              <w:t>1</w:t>
            </w:r>
            <w:r>
              <w:rPr>
                <w:rFonts w:hint="eastAsia" w:cs="仿宋_GB2312"/>
              </w:rPr>
              <w:t>、房屋（平方米）</w:t>
            </w:r>
          </w:p>
        </w:tc>
        <w:tc>
          <w:tcPr>
            <w:tcW w:w="1462" w:type="dxa"/>
          </w:tcPr>
          <w:p>
            <w:pPr>
              <w:rPr>
                <w:rFonts w:cs="Times New Roman"/>
              </w:rPr>
            </w:pPr>
            <w:r>
              <w:rPr>
                <w:rFonts w:hint="eastAsia" w:cs="Times New Roman"/>
              </w:rPr>
              <w:t>880</w:t>
            </w:r>
          </w:p>
        </w:tc>
        <w:tc>
          <w:tcPr>
            <w:tcW w:w="2841" w:type="dxa"/>
          </w:tcPr>
          <w:p>
            <w:pPr>
              <w:rPr>
                <w:rFonts w:cs="Times New Roman"/>
              </w:rPr>
            </w:pPr>
            <w:r>
              <w:rPr>
                <w:rFonts w:hint="eastAsia" w:cs="Times New Roma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rPr>
                <w:rFonts w:cs="Times New Roman"/>
              </w:rPr>
            </w:pPr>
            <w:r>
              <w:t xml:space="preserve">   </w:t>
            </w:r>
            <w:r>
              <w:rPr>
                <w:rFonts w:hint="eastAsia" w:cs="仿宋_GB2312"/>
              </w:rPr>
              <w:t>其中：办公用房（平方米）</w:t>
            </w:r>
          </w:p>
        </w:tc>
        <w:tc>
          <w:tcPr>
            <w:tcW w:w="1462" w:type="dxa"/>
          </w:tcPr>
          <w:p>
            <w:pPr>
              <w:rPr>
                <w:rFonts w:cs="Times New Roman"/>
              </w:rPr>
            </w:pPr>
            <w:r>
              <w:rPr>
                <w:rFonts w:hint="eastAsia" w:cs="Times New Roman"/>
              </w:rPr>
              <w:t>880</w:t>
            </w:r>
          </w:p>
        </w:tc>
        <w:tc>
          <w:tcPr>
            <w:tcW w:w="2841" w:type="dxa"/>
          </w:tcPr>
          <w:p>
            <w:pPr>
              <w:rPr>
                <w:rFonts w:cs="Times New Roman"/>
              </w:rPr>
            </w:pPr>
            <w:r>
              <w:rPr>
                <w:rFonts w:hint="eastAsia" w:cs="Times New Roma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rPr>
                <w:rFonts w:cs="Times New Roman"/>
              </w:rPr>
            </w:pPr>
            <w:r>
              <w:t>2</w:t>
            </w:r>
            <w:r>
              <w:rPr>
                <w:rFonts w:hint="eastAsia" w:cs="仿宋_GB2312"/>
              </w:rPr>
              <w:t>、车辆（台、辆）</w:t>
            </w:r>
          </w:p>
        </w:tc>
        <w:tc>
          <w:tcPr>
            <w:tcW w:w="1462" w:type="dxa"/>
          </w:tcPr>
          <w:p>
            <w:pPr>
              <w:rPr>
                <w:rFonts w:cs="Times New Roman"/>
              </w:rPr>
            </w:pPr>
            <w:r>
              <w:rPr>
                <w:rFonts w:hint="eastAsia" w:cs="Times New Roman"/>
              </w:rPr>
              <w:t>——</w:t>
            </w:r>
          </w:p>
        </w:tc>
        <w:tc>
          <w:tcPr>
            <w:tcW w:w="284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r>
              <w:rPr>
                <w:rFonts w:hint="eastAsia"/>
              </w:rPr>
              <w:t>3、单价在20万元以上设备</w:t>
            </w:r>
          </w:p>
        </w:tc>
        <w:tc>
          <w:tcPr>
            <w:tcW w:w="1462" w:type="dxa"/>
          </w:tcPr>
          <w:p>
            <w:pPr>
              <w:rPr>
                <w:rFonts w:cs="Times New Roman"/>
              </w:rPr>
            </w:pPr>
            <w:r>
              <w:rPr>
                <w:rFonts w:hint="eastAsia" w:cs="Times New Roman"/>
              </w:rPr>
              <w:t>——</w:t>
            </w:r>
          </w:p>
        </w:tc>
        <w:tc>
          <w:tcPr>
            <w:tcW w:w="284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rPr>
                <w:rFonts w:cs="Times New Roman"/>
              </w:rPr>
            </w:pPr>
            <w:r>
              <w:rPr>
                <w:rFonts w:hint="eastAsia"/>
              </w:rPr>
              <w:t>4</w:t>
            </w:r>
            <w:r>
              <w:rPr>
                <w:rFonts w:hint="eastAsia" w:cs="仿宋_GB2312"/>
              </w:rPr>
              <w:t>、其他固定资产</w:t>
            </w:r>
          </w:p>
        </w:tc>
        <w:tc>
          <w:tcPr>
            <w:tcW w:w="1462" w:type="dxa"/>
          </w:tcPr>
          <w:p>
            <w:pPr>
              <w:rPr>
                <w:rFonts w:cs="Times New Roman"/>
              </w:rPr>
            </w:pPr>
            <w:r>
              <w:rPr>
                <w:rFonts w:hint="eastAsia" w:cs="Times New Roman"/>
              </w:rPr>
              <w:t>——</w:t>
            </w:r>
          </w:p>
        </w:tc>
        <w:tc>
          <w:tcPr>
            <w:tcW w:w="2841" w:type="dxa"/>
          </w:tcPr>
          <w:p>
            <w:pPr>
              <w:rPr>
                <w:rFonts w:cs="Times New Roman"/>
              </w:rPr>
            </w:pPr>
            <w:r>
              <w:rPr>
                <w:rFonts w:hint="eastAsia" w:cs="Times New Roman"/>
              </w:rPr>
              <w:t>78</w:t>
            </w:r>
          </w:p>
        </w:tc>
      </w:tr>
    </w:tbl>
    <w:p>
      <w:pPr>
        <w:ind w:firstLine="643" w:firstLineChars="200"/>
        <w:rPr>
          <w:rFonts w:cs="Times New Roman"/>
          <w:b/>
          <w:bCs/>
        </w:rPr>
      </w:pPr>
      <w:r>
        <w:rPr>
          <w:b/>
          <w:bCs/>
        </w:rPr>
        <w:t>8</w:t>
      </w:r>
      <w:r>
        <w:rPr>
          <w:rFonts w:hint="eastAsia" w:cs="仿宋_GB2312"/>
          <w:b/>
          <w:bCs/>
        </w:rPr>
        <w:t>、名词解释</w:t>
      </w:r>
    </w:p>
    <w:p>
      <w:pPr>
        <w:ind w:firstLine="640" w:firstLineChars="200"/>
        <w:rPr>
          <w:rFonts w:ascii="仿宋_GB2312"/>
          <w:b/>
        </w:rPr>
      </w:pPr>
      <w:r>
        <w:rPr>
          <w:rFonts w:hint="eastAsia" w:ascii="仿宋_GB2312"/>
        </w:rPr>
        <w:t>1、一般公共预算拨款收入：指市级财政当年拨付的资金。</w:t>
      </w:r>
    </w:p>
    <w:p>
      <w:pPr>
        <w:ind w:firstLine="640" w:firstLineChars="200"/>
        <w:rPr>
          <w:rFonts w:ascii="仿宋_GB2312"/>
        </w:rPr>
      </w:pPr>
      <w:r>
        <w:rPr>
          <w:rFonts w:hint="eastAsia" w:ascii="仿宋_GB2312"/>
        </w:rPr>
        <w:t>2、事业收入：指事业单位开展专业业务活动及辅助活动所取得的收入。</w:t>
      </w:r>
    </w:p>
    <w:p>
      <w:pPr>
        <w:ind w:firstLine="640" w:firstLineChars="200"/>
        <w:rPr>
          <w:rFonts w:ascii="仿宋_GB2312"/>
        </w:rPr>
      </w:pPr>
      <w:r>
        <w:rPr>
          <w:rFonts w:hint="eastAsia" w:ascii="仿宋_GB2312"/>
        </w:rPr>
        <w:t>3、其他收入：指除上述“财政拨款收入”、“事业收入”等以外的收入。</w:t>
      </w:r>
    </w:p>
    <w:p>
      <w:pPr>
        <w:ind w:firstLine="640" w:firstLineChars="200"/>
        <w:rPr>
          <w:rFonts w:ascii="仿宋_GB2312"/>
        </w:rPr>
      </w:pPr>
      <w:r>
        <w:rPr>
          <w:rFonts w:hint="eastAsia" w:ascii="仿宋_GB2312"/>
        </w:rPr>
        <w:t>4、基本支出：指为保障机构正常运转、完成日常工作任务而发生的人员支出和公用支出。</w:t>
      </w:r>
    </w:p>
    <w:p>
      <w:pPr>
        <w:ind w:firstLine="640" w:firstLineChars="200"/>
        <w:rPr>
          <w:rFonts w:ascii="仿宋_GB2312"/>
        </w:rPr>
      </w:pPr>
      <w:r>
        <w:rPr>
          <w:rFonts w:hint="eastAsia" w:ascii="仿宋_GB2312"/>
        </w:rPr>
        <w:t>5、项目支出：指在基本支出之外为完成特定行政任务和事业发展目标所发生的支出。</w:t>
      </w:r>
    </w:p>
    <w:p>
      <w:pPr>
        <w:ind w:firstLine="640" w:firstLineChars="200"/>
        <w:rPr>
          <w:rFonts w:ascii="仿宋_GB2312"/>
        </w:rPr>
      </w:pPr>
      <w:r>
        <w:rPr>
          <w:rFonts w:hint="eastAsia" w:ascii="仿宋_GB2312"/>
        </w:rPr>
        <w:t>6、“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_GB2312"/>
          <w:kern w:val="0"/>
        </w:rPr>
      </w:pPr>
      <w:r>
        <w:rPr>
          <w:rFonts w:hint="eastAsia" w:ascii="仿宋_GB2312"/>
          <w:kern w:val="0"/>
        </w:rPr>
        <w:t>7、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cs="Times New Roman"/>
          <w:b/>
          <w:bCs/>
        </w:rPr>
      </w:pPr>
      <w:r>
        <w:rPr>
          <w:b/>
          <w:bCs/>
        </w:rPr>
        <w:t>9</w:t>
      </w:r>
      <w:r>
        <w:rPr>
          <w:rFonts w:hint="eastAsia" w:cs="仿宋_GB2312"/>
          <w:b/>
          <w:bCs/>
        </w:rPr>
        <w:t>、其他需要说明的事项</w:t>
      </w:r>
    </w:p>
    <w:p>
      <w:pPr>
        <w:ind w:firstLine="640" w:firstLineChars="200"/>
        <w:rPr>
          <w:rFonts w:cs="Times New Roman"/>
          <w:bCs/>
        </w:rPr>
      </w:pPr>
      <w:r>
        <w:rPr>
          <w:rFonts w:hint="eastAsia" w:cs="仿宋_GB2312"/>
          <w:bCs/>
        </w:rPr>
        <w:t>本部门无政府基金预算和国有资本经营预算，无“三公”经费预算</w:t>
      </w:r>
      <w:r>
        <w:rPr>
          <w:rFonts w:hint="eastAsia" w:cs="仿宋_GB2312"/>
          <w:bCs/>
          <w:lang w:eastAsia="zh-CN"/>
        </w:rPr>
        <w:t>，</w:t>
      </w:r>
      <w:r>
        <w:rPr>
          <w:rFonts w:hint="eastAsia" w:cs="仿宋_GB2312"/>
          <w:bCs/>
        </w:rPr>
        <w:t>无其他需要说明的事项。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133"/>
    <w:rsid w:val="000046D1"/>
    <w:rsid w:val="00035B19"/>
    <w:rsid w:val="00037334"/>
    <w:rsid w:val="00037DEA"/>
    <w:rsid w:val="0005049D"/>
    <w:rsid w:val="00061CAC"/>
    <w:rsid w:val="0007464C"/>
    <w:rsid w:val="00092730"/>
    <w:rsid w:val="000B0DB7"/>
    <w:rsid w:val="000D52EE"/>
    <w:rsid w:val="000E4BAB"/>
    <w:rsid w:val="000F4830"/>
    <w:rsid w:val="001011CA"/>
    <w:rsid w:val="00121DA4"/>
    <w:rsid w:val="00143A0F"/>
    <w:rsid w:val="00145B57"/>
    <w:rsid w:val="00146974"/>
    <w:rsid w:val="001478ED"/>
    <w:rsid w:val="00153D6A"/>
    <w:rsid w:val="00175EB9"/>
    <w:rsid w:val="0018046B"/>
    <w:rsid w:val="001A6EC7"/>
    <w:rsid w:val="001D021A"/>
    <w:rsid w:val="001F0AC3"/>
    <w:rsid w:val="001F1E74"/>
    <w:rsid w:val="001F2E32"/>
    <w:rsid w:val="00233B12"/>
    <w:rsid w:val="00251260"/>
    <w:rsid w:val="0028603B"/>
    <w:rsid w:val="00286CC2"/>
    <w:rsid w:val="0029393F"/>
    <w:rsid w:val="00294A91"/>
    <w:rsid w:val="00295FE6"/>
    <w:rsid w:val="002A1675"/>
    <w:rsid w:val="002A4F7D"/>
    <w:rsid w:val="002D49E5"/>
    <w:rsid w:val="002E2305"/>
    <w:rsid w:val="00301B1F"/>
    <w:rsid w:val="00303AB5"/>
    <w:rsid w:val="003110A9"/>
    <w:rsid w:val="003175BD"/>
    <w:rsid w:val="00344FD8"/>
    <w:rsid w:val="003566CA"/>
    <w:rsid w:val="0038169B"/>
    <w:rsid w:val="00393B97"/>
    <w:rsid w:val="003B6A19"/>
    <w:rsid w:val="003C0757"/>
    <w:rsid w:val="003C1CF6"/>
    <w:rsid w:val="003C5F6F"/>
    <w:rsid w:val="003E1D92"/>
    <w:rsid w:val="00402EE2"/>
    <w:rsid w:val="00420705"/>
    <w:rsid w:val="004448F0"/>
    <w:rsid w:val="00462BA7"/>
    <w:rsid w:val="00464D08"/>
    <w:rsid w:val="00466D4B"/>
    <w:rsid w:val="004676E2"/>
    <w:rsid w:val="004848E5"/>
    <w:rsid w:val="00486937"/>
    <w:rsid w:val="0048737C"/>
    <w:rsid w:val="004927E2"/>
    <w:rsid w:val="00495552"/>
    <w:rsid w:val="004B7731"/>
    <w:rsid w:val="004B7C22"/>
    <w:rsid w:val="004E3F85"/>
    <w:rsid w:val="00511A08"/>
    <w:rsid w:val="0054189D"/>
    <w:rsid w:val="0054405A"/>
    <w:rsid w:val="00552C56"/>
    <w:rsid w:val="00564E8D"/>
    <w:rsid w:val="00566A29"/>
    <w:rsid w:val="00570454"/>
    <w:rsid w:val="00576EA6"/>
    <w:rsid w:val="00581F16"/>
    <w:rsid w:val="00584830"/>
    <w:rsid w:val="005854BB"/>
    <w:rsid w:val="00592F7A"/>
    <w:rsid w:val="005B097F"/>
    <w:rsid w:val="005B0E10"/>
    <w:rsid w:val="005B40D2"/>
    <w:rsid w:val="005C6640"/>
    <w:rsid w:val="005D2C0D"/>
    <w:rsid w:val="005F09C1"/>
    <w:rsid w:val="005F2892"/>
    <w:rsid w:val="005F77DD"/>
    <w:rsid w:val="00611F5C"/>
    <w:rsid w:val="00630540"/>
    <w:rsid w:val="00651A76"/>
    <w:rsid w:val="00692E01"/>
    <w:rsid w:val="006A63F5"/>
    <w:rsid w:val="006B3697"/>
    <w:rsid w:val="00706347"/>
    <w:rsid w:val="007222F0"/>
    <w:rsid w:val="007604D5"/>
    <w:rsid w:val="00781E17"/>
    <w:rsid w:val="00793199"/>
    <w:rsid w:val="007A6AA7"/>
    <w:rsid w:val="007D7404"/>
    <w:rsid w:val="007D7D87"/>
    <w:rsid w:val="007E2425"/>
    <w:rsid w:val="007E6BE5"/>
    <w:rsid w:val="00800D02"/>
    <w:rsid w:val="00812AC2"/>
    <w:rsid w:val="00826B4B"/>
    <w:rsid w:val="00830311"/>
    <w:rsid w:val="00834BAE"/>
    <w:rsid w:val="00844470"/>
    <w:rsid w:val="0088372E"/>
    <w:rsid w:val="0089636F"/>
    <w:rsid w:val="008C1DA0"/>
    <w:rsid w:val="008E0A1B"/>
    <w:rsid w:val="008F6D3D"/>
    <w:rsid w:val="009020AF"/>
    <w:rsid w:val="00906D6A"/>
    <w:rsid w:val="00917E24"/>
    <w:rsid w:val="00945D2E"/>
    <w:rsid w:val="0099304E"/>
    <w:rsid w:val="00994814"/>
    <w:rsid w:val="009A3E2F"/>
    <w:rsid w:val="009C65AD"/>
    <w:rsid w:val="009C7DB3"/>
    <w:rsid w:val="00A02605"/>
    <w:rsid w:val="00A33EE4"/>
    <w:rsid w:val="00A37511"/>
    <w:rsid w:val="00A41E09"/>
    <w:rsid w:val="00A56560"/>
    <w:rsid w:val="00A608A1"/>
    <w:rsid w:val="00A848C8"/>
    <w:rsid w:val="00A95BB5"/>
    <w:rsid w:val="00AA7EB5"/>
    <w:rsid w:val="00AD457B"/>
    <w:rsid w:val="00AE1665"/>
    <w:rsid w:val="00AF4F72"/>
    <w:rsid w:val="00B02D78"/>
    <w:rsid w:val="00B16EBC"/>
    <w:rsid w:val="00B32750"/>
    <w:rsid w:val="00B341E5"/>
    <w:rsid w:val="00B370DA"/>
    <w:rsid w:val="00B41095"/>
    <w:rsid w:val="00B43D89"/>
    <w:rsid w:val="00B97D64"/>
    <w:rsid w:val="00BC7FD7"/>
    <w:rsid w:val="00BE5606"/>
    <w:rsid w:val="00C134F8"/>
    <w:rsid w:val="00C16713"/>
    <w:rsid w:val="00C312C8"/>
    <w:rsid w:val="00C35292"/>
    <w:rsid w:val="00C4088F"/>
    <w:rsid w:val="00C429E5"/>
    <w:rsid w:val="00C53032"/>
    <w:rsid w:val="00C76466"/>
    <w:rsid w:val="00CA0FEE"/>
    <w:rsid w:val="00CB3F98"/>
    <w:rsid w:val="00CB46F3"/>
    <w:rsid w:val="00CB4A3E"/>
    <w:rsid w:val="00CC40DA"/>
    <w:rsid w:val="00CC66D6"/>
    <w:rsid w:val="00CF002D"/>
    <w:rsid w:val="00D02343"/>
    <w:rsid w:val="00D17241"/>
    <w:rsid w:val="00D21B66"/>
    <w:rsid w:val="00D31B11"/>
    <w:rsid w:val="00D64E84"/>
    <w:rsid w:val="00D964DF"/>
    <w:rsid w:val="00DB3E72"/>
    <w:rsid w:val="00DC46A6"/>
    <w:rsid w:val="00DD3193"/>
    <w:rsid w:val="00DD76CD"/>
    <w:rsid w:val="00DE4E10"/>
    <w:rsid w:val="00DE54B0"/>
    <w:rsid w:val="00E02E51"/>
    <w:rsid w:val="00E2651C"/>
    <w:rsid w:val="00E27BB6"/>
    <w:rsid w:val="00E562B3"/>
    <w:rsid w:val="00E60CB6"/>
    <w:rsid w:val="00E62133"/>
    <w:rsid w:val="00E66C96"/>
    <w:rsid w:val="00E75B85"/>
    <w:rsid w:val="00E87871"/>
    <w:rsid w:val="00E93B7F"/>
    <w:rsid w:val="00E94A52"/>
    <w:rsid w:val="00E9665A"/>
    <w:rsid w:val="00EC5B61"/>
    <w:rsid w:val="00ED0BDC"/>
    <w:rsid w:val="00ED11AD"/>
    <w:rsid w:val="00F10159"/>
    <w:rsid w:val="00F13E61"/>
    <w:rsid w:val="00F3161F"/>
    <w:rsid w:val="00F33189"/>
    <w:rsid w:val="00F516AD"/>
    <w:rsid w:val="00F76BC5"/>
    <w:rsid w:val="00F8027B"/>
    <w:rsid w:val="00F82A8B"/>
    <w:rsid w:val="00F85692"/>
    <w:rsid w:val="00FA55CA"/>
    <w:rsid w:val="00FB6482"/>
    <w:rsid w:val="00FD4278"/>
    <w:rsid w:val="2E6E1A42"/>
    <w:rsid w:val="2E7106EC"/>
    <w:rsid w:val="30F97525"/>
    <w:rsid w:val="48FF56BB"/>
    <w:rsid w:val="52F95885"/>
    <w:rsid w:val="56146D04"/>
    <w:rsid w:val="6A3A34DA"/>
    <w:rsid w:val="6D523CD3"/>
    <w:rsid w:val="72B1617F"/>
    <w:rsid w:val="7BE86F96"/>
    <w:rsid w:val="7F7934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3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footnote reference"/>
    <w:basedOn w:val="5"/>
    <w:semiHidden/>
    <w:qFormat/>
    <w:uiPriority w:val="0"/>
    <w:rPr>
      <w:vertAlign w:val="superscript"/>
    </w:rPr>
  </w:style>
  <w:style w:type="table" w:styleId="8">
    <w:name w:val="Table Grid"/>
    <w:basedOn w:val="7"/>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99"/>
    <w:pPr>
      <w:ind w:firstLine="420" w:firstLineChars="200"/>
    </w:pPr>
  </w:style>
  <w:style w:type="character" w:customStyle="1" w:styleId="10">
    <w:name w:val="批注框文本 Char"/>
    <w:basedOn w:val="5"/>
    <w:link w:val="2"/>
    <w:semiHidden/>
    <w:qFormat/>
    <w:locked/>
    <w:uiPriority w:val="99"/>
    <w:rPr>
      <w:rFonts w:eastAsia="仿宋_GB2312" w:cs="Times New Roman"/>
      <w:sz w:val="18"/>
      <w:szCs w:val="18"/>
    </w:rPr>
  </w:style>
  <w:style w:type="character" w:customStyle="1" w:styleId="11">
    <w:name w:val="页眉 Char"/>
    <w:basedOn w:val="5"/>
    <w:link w:val="4"/>
    <w:semiHidden/>
    <w:qFormat/>
    <w:locked/>
    <w:uiPriority w:val="99"/>
    <w:rPr>
      <w:rFonts w:eastAsia="仿宋_GB2312" w:cs="Times New Roman"/>
      <w:sz w:val="18"/>
      <w:szCs w:val="18"/>
    </w:rPr>
  </w:style>
  <w:style w:type="character" w:customStyle="1" w:styleId="12">
    <w:name w:val="页脚 Char"/>
    <w:basedOn w:val="5"/>
    <w:link w:val="3"/>
    <w:semiHidden/>
    <w:qFormat/>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4961</Words>
  <Characters>838</Characters>
  <Lines>6</Lines>
  <Paragraphs>11</Paragraphs>
  <TotalTime>0</TotalTime>
  <ScaleCrop>false</ScaleCrop>
  <LinksUpToDate>false</LinksUpToDate>
  <CharactersWithSpaces>5788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2017-04-14T02:37:00Z</dcterms:created>
  <dc:creator>lenovo</dc:creator>
  <cp:lastModifiedBy>Administrator</cp:lastModifiedBy>
  <cp:lastPrinted>2017-04-17T03:01:00Z</cp:lastPrinted>
  <dcterms:modified xsi:type="dcterms:W3CDTF">2019-02-22T03:43:01Z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