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0"/>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spacing w:after="0"/>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中共饶阳县委宣传部</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中共饶阳县委宣传部</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jc w:val="center"/>
        <w:rPr>
          <w:rFonts w:asciiTheme="minorEastAsia" w:hAnsiTheme="minorEastAsia" w:eastAsiaTheme="minorEastAsia"/>
          <w:b/>
          <w:sz w:val="72"/>
          <w:szCs w:val="72"/>
        </w:rPr>
      </w:pPr>
    </w:p>
    <w:p>
      <w:pPr>
        <w:widowControl/>
        <w:spacing w:after="0"/>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spacing w:after="0"/>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pPr>
        <w:spacing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2576"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2576;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after="0" w:line="580" w:lineRule="exact"/>
        <w:ind w:firstLine="640" w:firstLineChars="200"/>
        <w:rPr>
          <w:rFonts w:eastAsia="黑体"/>
          <w:sz w:val="32"/>
          <w:szCs w:val="32"/>
        </w:rPr>
      </w:pPr>
    </w:p>
    <w:p>
      <w:pPr>
        <w:widowControl/>
        <w:spacing w:after="0" w:line="640" w:lineRule="exact"/>
        <w:ind w:firstLine="640" w:firstLineChars="200"/>
        <w:rPr>
          <w:rFonts w:eastAsia="仿宋_GB2312"/>
          <w:sz w:val="24"/>
          <w:szCs w:val="32"/>
        </w:rPr>
      </w:pPr>
      <w:r>
        <w:rPr>
          <w:rFonts w:eastAsia="黑体"/>
          <w:sz w:val="32"/>
          <w:szCs w:val="32"/>
        </w:rPr>
        <w:t>第一部分   部门概况</w:t>
      </w:r>
    </w:p>
    <w:p>
      <w:pPr>
        <w:widowControl/>
        <w:spacing w:after="0" w:line="640" w:lineRule="exact"/>
        <w:ind w:firstLine="640" w:firstLineChars="200"/>
        <w:rPr>
          <w:rFonts w:eastAsia="仿宋_GB2312"/>
          <w:sz w:val="32"/>
          <w:szCs w:val="32"/>
        </w:rPr>
      </w:pPr>
      <w:r>
        <w:rPr>
          <w:rFonts w:eastAsia="仿宋_GB2312"/>
          <w:sz w:val="32"/>
          <w:szCs w:val="32"/>
        </w:rPr>
        <w:t>一、部门</w:t>
      </w:r>
      <w:r>
        <w:rPr>
          <w:rFonts w:hint="eastAsia" w:eastAsia="仿宋_GB2312"/>
          <w:sz w:val="32"/>
          <w:szCs w:val="32"/>
        </w:rPr>
        <w:t>职责</w:t>
      </w:r>
    </w:p>
    <w:p>
      <w:pPr>
        <w:spacing w:after="0" w:line="640" w:lineRule="exact"/>
        <w:ind w:firstLine="640" w:firstLineChars="200"/>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after="0" w:line="64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after="0" w:line="640" w:lineRule="exact"/>
        <w:ind w:firstLine="640" w:firstLineChars="200"/>
        <w:rPr>
          <w:rFonts w:eastAsia="仿宋_GB2312"/>
          <w:sz w:val="32"/>
          <w:szCs w:val="32"/>
        </w:rPr>
      </w:pPr>
      <w:r>
        <w:rPr>
          <w:rFonts w:eastAsia="仿宋_GB2312"/>
          <w:sz w:val="32"/>
          <w:szCs w:val="32"/>
        </w:rPr>
        <w:t>一、收入支出决算总表</w:t>
      </w:r>
    </w:p>
    <w:p>
      <w:pPr>
        <w:widowControl/>
        <w:spacing w:after="0" w:line="640" w:lineRule="exact"/>
        <w:ind w:firstLine="640" w:firstLineChars="200"/>
        <w:rPr>
          <w:rFonts w:eastAsia="仿宋_GB2312"/>
          <w:sz w:val="32"/>
          <w:szCs w:val="32"/>
        </w:rPr>
      </w:pPr>
      <w:r>
        <w:rPr>
          <w:rFonts w:eastAsia="仿宋_GB2312"/>
          <w:sz w:val="32"/>
          <w:szCs w:val="32"/>
        </w:rPr>
        <w:t>二、收入决算表</w:t>
      </w:r>
    </w:p>
    <w:p>
      <w:pPr>
        <w:widowControl/>
        <w:spacing w:after="0" w:line="640" w:lineRule="exact"/>
        <w:ind w:firstLine="640" w:firstLineChars="200"/>
        <w:rPr>
          <w:rFonts w:eastAsia="仿宋_GB2312"/>
          <w:sz w:val="32"/>
          <w:szCs w:val="32"/>
        </w:rPr>
      </w:pPr>
      <w:r>
        <w:rPr>
          <w:rFonts w:eastAsia="仿宋_GB2312"/>
          <w:sz w:val="32"/>
          <w:szCs w:val="32"/>
        </w:rPr>
        <w:t>三、支出决算表</w:t>
      </w:r>
    </w:p>
    <w:p>
      <w:pPr>
        <w:widowControl/>
        <w:spacing w:after="0" w:line="640" w:lineRule="exact"/>
        <w:ind w:firstLine="640" w:firstLineChars="200"/>
        <w:rPr>
          <w:rFonts w:eastAsia="仿宋_GB2312"/>
          <w:sz w:val="32"/>
          <w:szCs w:val="32"/>
        </w:rPr>
      </w:pPr>
      <w:r>
        <w:rPr>
          <w:rFonts w:eastAsia="仿宋_GB2312"/>
          <w:sz w:val="32"/>
          <w:szCs w:val="32"/>
        </w:rPr>
        <w:t>四、财政拨款收入支出决算总表</w:t>
      </w:r>
    </w:p>
    <w:p>
      <w:pPr>
        <w:widowControl/>
        <w:spacing w:after="0" w:line="640" w:lineRule="exact"/>
        <w:ind w:firstLine="640" w:firstLineChars="200"/>
        <w:rPr>
          <w:rFonts w:eastAsia="仿宋_GB2312"/>
          <w:sz w:val="32"/>
          <w:szCs w:val="32"/>
        </w:rPr>
      </w:pPr>
      <w:r>
        <w:rPr>
          <w:rFonts w:eastAsia="仿宋_GB2312"/>
          <w:sz w:val="32"/>
          <w:szCs w:val="32"/>
        </w:rPr>
        <w:t>五、一般公共预算财政拨款支出决算表</w:t>
      </w:r>
    </w:p>
    <w:p>
      <w:pPr>
        <w:widowControl/>
        <w:spacing w:after="0" w:line="640" w:lineRule="exact"/>
        <w:ind w:firstLine="640" w:firstLineChars="200"/>
        <w:rPr>
          <w:rFonts w:eastAsia="仿宋_GB2312"/>
          <w:sz w:val="32"/>
          <w:szCs w:val="32"/>
        </w:rPr>
      </w:pPr>
      <w:r>
        <w:rPr>
          <w:rFonts w:eastAsia="仿宋_GB2312"/>
          <w:sz w:val="32"/>
          <w:szCs w:val="32"/>
        </w:rPr>
        <w:t>六、一般公共预算财政拨款基本支出决算表</w:t>
      </w:r>
    </w:p>
    <w:p>
      <w:pPr>
        <w:widowControl/>
        <w:spacing w:after="0" w:line="640" w:lineRule="exact"/>
        <w:ind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after="0" w:line="640" w:lineRule="exact"/>
        <w:ind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after="0" w:line="640" w:lineRule="exact"/>
        <w:ind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after="0" w:line="640" w:lineRule="exact"/>
        <w:ind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after="0" w:line="640" w:lineRule="exact"/>
        <w:ind w:firstLine="640" w:firstLineChars="200"/>
        <w:rPr>
          <w:rFonts w:eastAsia="黑体"/>
          <w:sz w:val="32"/>
          <w:szCs w:val="32"/>
        </w:rPr>
      </w:pPr>
    </w:p>
    <w:p>
      <w:pPr>
        <w:widowControl/>
        <w:spacing w:after="0" w:line="64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宣传部</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after="0" w:line="640" w:lineRule="exact"/>
        <w:ind w:firstLine="640" w:firstLineChars="200"/>
        <w:rPr>
          <w:rFonts w:eastAsia="仿宋_GB2312"/>
          <w:sz w:val="32"/>
          <w:szCs w:val="32"/>
        </w:rPr>
      </w:pPr>
      <w:r>
        <w:rPr>
          <w:rFonts w:eastAsia="仿宋_GB2312"/>
          <w:sz w:val="32"/>
          <w:szCs w:val="32"/>
        </w:rPr>
        <w:t>一、收入支出决算总体情况说明</w:t>
      </w:r>
    </w:p>
    <w:p>
      <w:pPr>
        <w:widowControl/>
        <w:spacing w:after="0" w:line="640" w:lineRule="exact"/>
        <w:ind w:firstLine="640" w:firstLineChars="200"/>
        <w:rPr>
          <w:rFonts w:eastAsia="仿宋_GB2312"/>
          <w:sz w:val="32"/>
          <w:szCs w:val="32"/>
        </w:rPr>
      </w:pPr>
      <w:r>
        <w:rPr>
          <w:rFonts w:eastAsia="仿宋_GB2312"/>
          <w:sz w:val="32"/>
          <w:szCs w:val="32"/>
        </w:rPr>
        <w:t>二、收入决算情况说明</w:t>
      </w:r>
    </w:p>
    <w:p>
      <w:pPr>
        <w:widowControl/>
        <w:spacing w:after="0" w:line="640" w:lineRule="exact"/>
        <w:ind w:firstLine="640" w:firstLineChars="200"/>
        <w:rPr>
          <w:rFonts w:eastAsia="仿宋_GB2312"/>
          <w:sz w:val="32"/>
          <w:szCs w:val="32"/>
        </w:rPr>
      </w:pPr>
      <w:r>
        <w:rPr>
          <w:rFonts w:eastAsia="仿宋_GB2312"/>
          <w:sz w:val="32"/>
          <w:szCs w:val="32"/>
        </w:rPr>
        <w:t>三、支出决算情况说明</w:t>
      </w:r>
    </w:p>
    <w:p>
      <w:pPr>
        <w:widowControl/>
        <w:spacing w:after="0" w:line="640" w:lineRule="exact"/>
        <w:ind w:firstLine="640" w:firstLineChars="200"/>
        <w:rPr>
          <w:rFonts w:eastAsia="仿宋_GB2312"/>
          <w:sz w:val="32"/>
          <w:szCs w:val="32"/>
        </w:rPr>
      </w:pPr>
      <w:r>
        <w:rPr>
          <w:rFonts w:eastAsia="仿宋_GB2312"/>
          <w:sz w:val="32"/>
          <w:szCs w:val="32"/>
        </w:rPr>
        <w:t>四、财政拨款收入支出决算情况说明</w:t>
      </w:r>
    </w:p>
    <w:p>
      <w:pPr>
        <w:widowControl/>
        <w:spacing w:after="0" w:line="640" w:lineRule="exact"/>
        <w:ind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after="0" w:line="640" w:lineRule="exact"/>
        <w:ind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after="0" w:line="640" w:lineRule="exact"/>
        <w:ind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after="0" w:line="640" w:lineRule="exact"/>
        <w:ind w:firstLine="640" w:firstLineChars="200"/>
        <w:rPr>
          <w:rFonts w:eastAsia="黑体"/>
          <w:sz w:val="32"/>
          <w:szCs w:val="32"/>
        </w:rPr>
      </w:pPr>
      <w:r>
        <w:rPr>
          <w:rFonts w:eastAsia="黑体"/>
          <w:sz w:val="32"/>
          <w:szCs w:val="32"/>
        </w:rPr>
        <w:t>第四部分  名词解释</w:t>
      </w:r>
    </w:p>
    <w:p>
      <w:pPr>
        <w:widowControl/>
        <w:spacing w:after="0" w:line="640" w:lineRule="exact"/>
        <w:ind w:firstLine="640" w:firstLineChars="200"/>
        <w:rPr>
          <w:rFonts w:eastAsia="黑体"/>
          <w:sz w:val="32"/>
          <w:szCs w:val="32"/>
        </w:rPr>
      </w:pPr>
    </w:p>
    <w:p>
      <w:pPr>
        <w:widowControl/>
        <w:spacing w:after="0" w:line="640" w:lineRule="exact"/>
        <w:ind w:firstLine="640" w:firstLineChars="200"/>
        <w:rPr>
          <w:rFonts w:eastAsia="黑体"/>
          <w:sz w:val="32"/>
          <w:szCs w:val="32"/>
        </w:rPr>
      </w:pPr>
    </w:p>
    <w:p>
      <w:pPr>
        <w:widowControl/>
        <w:spacing w:after="0" w:line="580" w:lineRule="exact"/>
        <w:ind w:firstLine="640" w:firstLineChars="200"/>
        <w:rPr>
          <w:rFonts w:eastAsia="黑体"/>
          <w:sz w:val="32"/>
          <w:szCs w:val="32"/>
        </w:rPr>
      </w:pPr>
    </w:p>
    <w:p>
      <w:pPr>
        <w:widowControl/>
        <w:spacing w:after="0" w:line="580" w:lineRule="exact"/>
        <w:ind w:firstLine="640" w:firstLineChars="200"/>
        <w:rPr>
          <w:rFonts w:eastAsia="黑体"/>
          <w:sz w:val="32"/>
          <w:szCs w:val="32"/>
        </w:rPr>
      </w:pPr>
    </w:p>
    <w:p>
      <w:pPr>
        <w:spacing w:after="0"/>
      </w:pPr>
      <w:r>
        <w:br w:type="page"/>
      </w:r>
    </w:p>
    <w:p>
      <w:pPr>
        <w:spacing w:after="0"/>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pStyle w:val="2"/>
        <w:spacing w:before="0" w:after="0" w:line="600" w:lineRule="exact"/>
        <w:jc w:val="left"/>
        <w:rPr>
          <w:rFonts w:ascii="黑体" w:eastAsia="黑体" w:cs="黑体" w:hAnsiTheme="minorHAnsi"/>
          <w:b w:val="0"/>
          <w:bCs w:val="0"/>
          <w:kern w:val="0"/>
          <w:sz w:val="32"/>
          <w:szCs w:val="32"/>
        </w:rPr>
      </w:pPr>
    </w:p>
    <w:p>
      <w:pPr>
        <w:rPr>
          <w:rFonts w:ascii="黑体" w:eastAsia="黑体" w:cs="黑体" w:hAnsiTheme="minorHAnsi"/>
          <w:kern w:val="0"/>
          <w:sz w:val="32"/>
          <w:szCs w:val="32"/>
        </w:rPr>
      </w:pPr>
    </w:p>
    <w:p>
      <w:pPr>
        <w:rPr>
          <w:rFonts w:ascii="黑体" w:eastAsia="黑体" w:cs="黑体" w:hAnsiTheme="minorHAnsi"/>
          <w:kern w:val="0"/>
          <w:sz w:val="32"/>
          <w:szCs w:val="32"/>
        </w:rPr>
      </w:pPr>
    </w:p>
    <w:p>
      <w:pPr>
        <w:pStyle w:val="2"/>
        <w:spacing w:before="0" w:after="0" w:line="600" w:lineRule="exact"/>
        <w:ind w:firstLine="640" w:firstLineChars="200"/>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(一)拟订全县宣传思想文化工作重大方针政策和事业发展总体规划，统筹协调推进宣传思想文化领域法治建设，按照县委统一部署，协调宣传思想文化系统各部门之间的工作。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(二)统筹协调全县党的意识形态工作，贯彻落实县委关于意识形态工作决策部署，组织协调意识形态工作责任制落实和日常监督查，结合巡视巡察工作开展专项检查。</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(三)统筹指导协调全县理论研究、理论学习、理论宣传工作，组织推动理论武装工作，推动落实马克思主义理论研究和建设工程任务，负责县委理论学习中心组理论学习的有关工作。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负责规划组织全县全局性思想政治工作任务，组织对全县先进典型的学习推广。配合县委组织部做好基层党员教育工作，指导协调编写党员教育教材，会同有关部门研究和改进群众思想教育工作。负责全县爱国主义教育基地的建设、管理、使用。负责全县国防教育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(五)统筹分析研判和引导全县社会舆论，指导协调县广播电视台的工作，组织全县突发公共事件应急新闻工作。承担县突发公共事件应急新闻办公室日常工作。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拟订全县新闻出版业的管理政策并督促落实，管理新闻出版行政事务，承担有关行政审批事中事后监管，统筹规划和指导协调新闻出版事业、产业发展，监督管理出版物内容和质量，监督管理印刷业，管理著作权，管理出版物进出口等组织指导协调全县“扫黄打非”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(七)从宏观上统筹指导协调全县互联网宣传和信息内容管理工作。统筹数字新媒体的建设和管理。</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(八)从宏观上统筹指导协调推动全县精神文化产品的创作和生产，协调组织中华优秀传统文化传承发展有关工作，指导协调推动群众文化建设。</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(九)负责管理全县电影行政事务，指导监管电影制片发行、放映工作，组织对电影内容进行审查，指导协调全县重大电影活动。</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对全县新闻出版、广播影视、文化艺术业改革发展研究提出政策性建议，统筹指导协调文化体制改革和文化事业、文化产业及旅游业发展，负责县级文化企业国有资产监督管理。承担县文化体制改革和发展工作领导小组办公室和县级文化企业国有资产监督管理领导小组办公室日常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(十一)统筹指导全县舆情信息工作，组织协调开展县内外情信息收集分析研判工作，跟踪了解、研究掌握宣传舆情动态。</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(十二)统筹研究拟订有关全县精神文明建设的方针、政策，规划部署全县精神文明建设工作，组织指导全县群众性精神文明创建活动。</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(十三)统筹协调全县对外宣传工作。指导协调有关部门究拟订全县对外宣传事业发展规划，组织协调我县对外宣传文化交流工作，会同有关部门做好县外记者采访事务方面工作。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四)统等协调组织开展新闻发布工作。承担县委新闻发布有关组织协调工作，负责县政府新闻发布组织实施工作。指导协调县政府各部门和各乡镇区的新闻发布工作，推动新闻发言人制度落实，拟订我县重大问题对外宣传口径。</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(十五)统筹指导协调全县哲学社会科学发展工作。组织制定发展战略、中长期规划和专项计划。负责组织开展县级新型智库建设工作，协调推动全县新型智库建设。</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六)受县委委托，会同县委组织部管理新闻、文化、出版、社会科学研究和互联网信息等方面县直宣传文化单位的领导干部，对各乡镇区党委宣传委员的任免提出意见。负责有关重要宣传舆论阵地和重要岗位领导干部管理工作。负责组织开展宣传思想文化系统干部教育培训和人才工作。</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七)对县互联网信息办公室互联网宣传和信息内容管理方面的工作实施方针、政策的指导。归口领导县文化广电和旅游局、县广播电视台。对应上级社科联、文联，承担相应的工作。领导和管理县思想政治工作研究会。</w:t>
      </w:r>
    </w:p>
    <w:p>
      <w:pPr>
        <w:spacing w:after="0" w:line="5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(十八)完成县委交办的其他任务</w:t>
      </w:r>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 xml:space="preserve">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中共饶阳县委宣传部</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党政机关</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after="0" w:line="560" w:lineRule="exact"/>
        <w:jc w:val="center"/>
        <w:rPr>
          <w:rFonts w:ascii="黑体" w:eastAsia="黑体" w:cs="MS-UIGothic,Bold" w:hAnsiTheme="minorHAnsi"/>
          <w:bCs/>
          <w:kern w:val="0"/>
          <w:sz w:val="52"/>
          <w:szCs w:val="52"/>
        </w:rPr>
      </w:pPr>
    </w:p>
    <w:p>
      <w:pPr>
        <w:shd w:val="clear" w:color="auto" w:fill="FFFFFF"/>
        <w:spacing w:line="580" w:lineRule="exact"/>
        <w:rPr>
          <w:rFonts w:hAnsi="宋体" w:eastAsia="仿宋_GB2312" w:cs="宋体"/>
          <w:b/>
          <w:bCs/>
          <w:kern w:val="0"/>
          <w:sz w:val="32"/>
          <w:szCs w:val="32"/>
        </w:rPr>
      </w:pPr>
      <w:r>
        <w:rPr>
          <w:rFonts w:hint="eastAsia" w:hAnsi="宋体" w:eastAsia="仿宋_GB2312" w:cs="宋体"/>
          <w:b/>
          <w:bCs/>
          <w:kern w:val="0"/>
          <w:sz w:val="32"/>
          <w:szCs w:val="32"/>
        </w:rPr>
        <w:t>部门决算单位构成</w:t>
      </w:r>
    </w:p>
    <w:p>
      <w:pPr>
        <w:widowControl/>
        <w:spacing w:after="0" w:line="560" w:lineRule="exact"/>
        <w:jc w:val="center"/>
        <w:rPr>
          <w:rFonts w:ascii="黑体" w:eastAsia="黑体" w:cs="MS-UIGothic,Bold" w:hAnsiTheme="minorHAnsi"/>
          <w:bCs/>
          <w:kern w:val="0"/>
          <w:sz w:val="52"/>
          <w:szCs w:val="52"/>
        </w:rPr>
      </w:pPr>
      <w:r>
        <w:rPr>
          <w:rFonts w:hint="eastAsia" w:ascii="仿宋_GB2312" w:hAnsi="仿宋" w:eastAsia="仿宋_GB2312"/>
          <w:sz w:val="32"/>
          <w:szCs w:val="32"/>
        </w:rPr>
        <w:t>饶阳县委宣传部决算设办公室、理论股、宣传股3个职能科室及国防教育办公室、互联网信息办公室、（对外宣传局、县精神文明建设委员会办公室）对外保留名称。</w:t>
      </w:r>
    </w:p>
    <w:p>
      <w:pPr>
        <w:widowControl/>
        <w:spacing w:after="0"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after="0"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after="0" w:line="560" w:lineRule="exact"/>
        <w:jc w:val="center"/>
        <w:rPr>
          <w:rFonts w:ascii="黑体" w:eastAsia="黑体" w:cs="MS-UIGothic,Bold" w:hAnsiTheme="minorHAnsi"/>
          <w:bCs/>
          <w:kern w:val="0"/>
          <w:sz w:val="52"/>
          <w:szCs w:val="52"/>
        </w:rPr>
      </w:pPr>
    </w:p>
    <w:p>
      <w:pPr>
        <w:spacing w:after="0"/>
        <w:rPr>
          <w:rFonts w:ascii="宋体" w:hAnsi="宋体" w:cs="ArialUnicodeMS"/>
          <w:color w:val="000000"/>
          <w:kern w:val="0"/>
        </w:rPr>
      </w:pPr>
    </w:p>
    <w:p>
      <w:pPr>
        <w:spacing w:after="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3600"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360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中共饶阳县委宣传部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22.96</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83"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r>
      <w:tr>
        <w:tblPrEx>
          <w:tblCellMar>
            <w:top w:w="0" w:type="dxa"/>
            <w:left w:w="0" w:type="dxa"/>
            <w:bottom w:w="0" w:type="dxa"/>
            <w:right w:w="0" w:type="dxa"/>
          </w:tblCellMar>
        </w:tblPrEx>
        <w:trPr>
          <w:trHeight w:val="283"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200" w:lineRule="exact"/>
        <w:jc w:val="right"/>
        <w:textAlignment w:val="center"/>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spacing w:after="0"/>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462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462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w:t>
            </w:r>
            <w:r>
              <w:rPr>
                <w:rFonts w:hint="eastAsia" w:ascii="黑体" w:hAnsi="宋体" w:eastAsia="黑体" w:cs="黑体"/>
                <w:color w:val="000000"/>
                <w:kern w:val="0"/>
                <w:sz w:val="40"/>
                <w:szCs w:val="40"/>
                <w:lang w:eastAsia="zh-CN" w:bidi="ar"/>
              </w:rPr>
              <w:t>总</w: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中共饶阳县委宣传部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1,698.69</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1,698.69</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宣传事务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其他宣传事务支出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文化体育与传媒支出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文化活动</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9.99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其他文化支出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2079999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564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564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中共饶阳县委宣传部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1,698.69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257.75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1,440.94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宣传事务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其他宣传事务支出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20" w:type="dxa"/>
        <w:tblInd w:w="0" w:type="dxa"/>
        <w:tblLayout w:type="fixed"/>
        <w:tblCellMar>
          <w:top w:w="0" w:type="dxa"/>
          <w:left w:w="0" w:type="dxa"/>
          <w:bottom w:w="0" w:type="dxa"/>
          <w:right w:w="0" w:type="dxa"/>
        </w:tblCellMar>
      </w:tblPr>
      <w:tblGrid>
        <w:gridCol w:w="1712"/>
        <w:gridCol w:w="743"/>
        <w:gridCol w:w="325"/>
        <w:gridCol w:w="849"/>
        <w:gridCol w:w="2118"/>
        <w:gridCol w:w="191"/>
        <w:gridCol w:w="360"/>
        <w:gridCol w:w="648"/>
        <w:gridCol w:w="226"/>
        <w:gridCol w:w="598"/>
        <w:gridCol w:w="276"/>
        <w:gridCol w:w="874"/>
      </w:tblGrid>
      <w:tr>
        <w:tblPrEx>
          <w:tblCellMar>
            <w:top w:w="0" w:type="dxa"/>
            <w:left w:w="0" w:type="dxa"/>
            <w:bottom w:w="0" w:type="dxa"/>
            <w:right w:w="0" w:type="dxa"/>
          </w:tblCellMar>
        </w:tblPrEx>
        <w:trPr>
          <w:trHeight w:val="90" w:hRule="atLeast"/>
        </w:trPr>
        <w:tc>
          <w:tcPr>
            <w:tcW w:w="892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67"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4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90" w:hRule="atLeast"/>
        </w:trPr>
        <w:tc>
          <w:tcPr>
            <w:tcW w:w="6298"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中共饶阳县委宣传部</w:t>
            </w:r>
          </w:p>
        </w:tc>
        <w:tc>
          <w:tcPr>
            <w:tcW w:w="64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4"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40"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1,378.08</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22.96</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22.96</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1,378.08</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56"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90" w:hRule="atLeast"/>
        </w:trPr>
        <w:tc>
          <w:tcPr>
            <w:tcW w:w="24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4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23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1,698.69</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1,378.08</w:t>
            </w:r>
          </w:p>
        </w:tc>
        <w:tc>
          <w:tcPr>
            <w:tcW w:w="8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r>
      <w:tr>
        <w:tblPrEx>
          <w:tblCellMar>
            <w:top w:w="0" w:type="dxa"/>
            <w:left w:w="0" w:type="dxa"/>
            <w:bottom w:w="0" w:type="dxa"/>
            <w:right w:w="0" w:type="dxa"/>
          </w:tblCellMar>
        </w:tblPrEx>
        <w:trPr>
          <w:trHeight w:val="90" w:hRule="atLeast"/>
        </w:trPr>
        <w:tc>
          <w:tcPr>
            <w:tcW w:w="892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中共饶阳县委宣传部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lang w:bidi="ar"/>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1,378.08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257.75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1,120.32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宣传事务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1,257.12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234.79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2013399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其他宣传事务支出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1,022.33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97.99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文化</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文化活动</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其他文化支出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20799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86.00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注：本表反映部门本年度一般公共预算财政拨款收入及支出情况。      </w:t>
            </w:r>
          </w:p>
        </w:tc>
      </w:tr>
    </w:tbl>
    <w:p>
      <w:pPr>
        <w:widowControl/>
        <w:spacing w:after="0" w:line="200" w:lineRule="exact"/>
        <w:jc w:val="right"/>
        <w:textAlignment w:val="center"/>
        <w:rPr>
          <w:rFonts w:ascii="宋体" w:hAnsi="宋体" w:cs="宋体"/>
          <w:color w:val="000000"/>
          <w:kern w:val="0"/>
          <w:sz w:val="20"/>
          <w:szCs w:val="20"/>
          <w:lang w:bidi="ar"/>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rFonts w:hint="eastAsia" w:ascii="宋体" w:hAnsi="宋体" w:cs="宋体"/>
                <w:color w:val="000000"/>
                <w:kern w:val="0"/>
                <w:sz w:val="20"/>
                <w:szCs w:val="20"/>
                <w:lang w:eastAsia="zh-CN" w:bidi="ar"/>
              </w:rPr>
              <w:t>中共饶阳县委宣传部</w:t>
            </w:r>
            <w:r>
              <w:rPr>
                <w:sz w:val="44"/>
              </w:rPr>
              <mc:AlternateContent>
                <mc:Choice Requires="wpg">
                  <w:drawing>
                    <wp:anchor distT="0" distB="0" distL="114300" distR="114300" simplePos="0" relativeHeight="251678720"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8720;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179.51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78.25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26.03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87.08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29.37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3.80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0.56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2.11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10.26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19.50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2.90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6.00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20.97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179.51</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78.25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7974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974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中共饶阳县委宣传部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中共饶阳县委宣传部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320.62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320.62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320.62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b/>
                <w:bCs/>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212</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城乡社区支出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21208</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2120804</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  农村基础设施建设支出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320.62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r>
              <w:rPr>
                <w:rFonts w:hint="eastAsia" w:ascii="宋体" w:hAnsi="宋体" w:cs="宋体"/>
                <w:color w:val="000000"/>
                <w:kern w:val="0"/>
                <w:sz w:val="20"/>
                <w:szCs w:val="20"/>
                <w:lang w:eastAsia="zh-CN" w:bidi="ar"/>
              </w:rPr>
              <w:t>中共饶阳县委宣传部</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注：本部门没有国有资本经营情况，所以本表以空表列示。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r>
              <w:rPr>
                <w:rFonts w:hint="eastAsia" w:ascii="宋体" w:hAnsi="宋体" w:cs="宋体"/>
                <w:color w:val="000000"/>
                <w:kern w:val="0"/>
                <w:sz w:val="20"/>
                <w:szCs w:val="20"/>
                <w:lang w:eastAsia="zh-CN" w:bidi="ar"/>
              </w:rPr>
              <w:t>中共饶阳县委宣传部</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注：本部门2018县没有政府采购项目，所以本表以空表列示。     </w:t>
            </w:r>
          </w:p>
        </w:tc>
      </w:tr>
    </w:tbl>
    <w:p>
      <w:pPr>
        <w:widowControl/>
        <w:spacing w:after="0" w:line="560" w:lineRule="exact"/>
        <w:jc w:val="left"/>
        <w:rPr>
          <w:rFonts w:ascii="仿宋_GB2312" w:eastAsia="仿宋_GB2312" w:hAnsiTheme="majorEastAsia"/>
          <w:b/>
          <w:sz w:val="28"/>
          <w:szCs w:val="28"/>
          <w:highlight w:val="yellow"/>
        </w:rPr>
      </w:pPr>
    </w:p>
    <w:p>
      <w:pPr>
        <w:spacing w:after="0"/>
      </w:pPr>
    </w:p>
    <w:p>
      <w:pPr>
        <w:spacing w:after="0"/>
      </w:pPr>
    </w:p>
    <w:p>
      <w:pPr>
        <w:spacing w:after="0"/>
      </w:pPr>
    </w:p>
    <w:p>
      <w:pPr>
        <w:spacing w:after="0"/>
      </w:pPr>
    </w:p>
    <w:p>
      <w:pPr>
        <w:tabs>
          <w:tab w:val="left" w:pos="1086"/>
        </w:tabs>
        <w:spacing w:after="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spacing w:after="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本部门2018年度收支总计（含结转和结余）1698.69万元。与2017年度决算相比，收支各增加</w:t>
      </w:r>
      <w:r>
        <w:rPr>
          <w:rFonts w:hint="eastAsia" w:ascii="仿宋_GB2312" w:hAnsi="Calibri" w:eastAsia="仿宋_GB2312" w:cs="仿宋_GB2312"/>
          <w:color w:val="000000"/>
          <w:sz w:val="32"/>
          <w:szCs w:val="32"/>
        </w:rPr>
        <w:t>413.93万元，增长32.2%，主要原因对文化产业支持费用的增加。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hAnsi="Calibri" w:eastAsia="仿宋_GB2312" w:cs="仿宋_GB2312"/>
          <w:color w:val="000000"/>
          <w:sz w:val="32"/>
          <w:szCs w:val="32"/>
        </w:rPr>
        <w:t>1698.69万元</w:t>
      </w:r>
      <w:r>
        <w:rPr>
          <w:rFonts w:hint="eastAsia" w:ascii="仿宋_GB2312" w:eastAsia="仿宋_GB2312" w:cs="DengXian-Regular"/>
          <w:sz w:val="32"/>
          <w:szCs w:val="32"/>
        </w:rPr>
        <w:t>，均为财政拨款收入。如图所示：</w: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1008" behindDoc="0" locked="0" layoutInCell="1" allowOverlap="1">
            <wp:simplePos x="0" y="0"/>
            <wp:positionH relativeFrom="column">
              <wp:posOffset>1133475</wp:posOffset>
            </wp:positionH>
            <wp:positionV relativeFrom="paragraph">
              <wp:posOffset>62865</wp:posOffset>
            </wp:positionV>
            <wp:extent cx="3613150" cy="2160270"/>
            <wp:effectExtent l="0" t="0" r="6350" b="11430"/>
            <wp:wrapSquare wrapText="bothSides"/>
            <wp:docPr id="28" name="图片 28" descr="22783561619073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7835616190732380"/>
                    <pic:cNvPicPr>
                      <a:picLocks noChangeAspect="1"/>
                    </pic:cNvPicPr>
                  </pic:nvPicPr>
                  <pic:blipFill>
                    <a:blip r:embed="rId8"/>
                    <a:stretch>
                      <a:fillRect/>
                    </a:stretch>
                  </pic:blipFill>
                  <pic:spPr>
                    <a:xfrm>
                      <a:off x="0" y="0"/>
                      <a:ext cx="3613150" cy="2160270"/>
                    </a:xfrm>
                    <a:prstGeom prst="rect">
                      <a:avLst/>
                    </a:prstGeom>
                  </pic:spPr>
                </pic:pic>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hAnsi="Calibri" w:eastAsia="仿宋_GB2312" w:cs="仿宋_GB2312"/>
          <w:color w:val="000000"/>
          <w:sz w:val="32"/>
          <w:szCs w:val="32"/>
        </w:rPr>
        <w:t>1698.69</w:t>
      </w:r>
      <w:r>
        <w:rPr>
          <w:rFonts w:hint="eastAsia" w:ascii="仿宋_GB2312" w:eastAsia="仿宋_GB2312" w:cs="DengXian-Regular"/>
          <w:sz w:val="32"/>
          <w:szCs w:val="32"/>
        </w:rPr>
        <w:t>万元，其中：基本支出</w:t>
      </w:r>
      <w:r>
        <w:rPr>
          <w:rFonts w:hint="eastAsia" w:ascii="仿宋_GB2312" w:hAnsi="Calibri" w:eastAsia="仿宋_GB2312" w:cs="仿宋_GB2312"/>
          <w:color w:val="000000"/>
          <w:sz w:val="32"/>
          <w:szCs w:val="32"/>
        </w:rPr>
        <w:t>257.75</w:t>
      </w:r>
      <w:r>
        <w:rPr>
          <w:rFonts w:hint="eastAsia" w:ascii="仿宋_GB2312" w:eastAsia="仿宋_GB2312" w:cs="DengXian-Regular"/>
          <w:sz w:val="32"/>
          <w:szCs w:val="32"/>
        </w:rPr>
        <w:t>万元，占15.17%；项目支出</w:t>
      </w:r>
      <w:r>
        <w:rPr>
          <w:rFonts w:hint="eastAsia" w:ascii="仿宋_GB2312" w:hAnsi="Calibri" w:eastAsia="仿宋_GB2312" w:cs="仿宋_GB2312"/>
          <w:color w:val="000000"/>
          <w:sz w:val="32"/>
          <w:szCs w:val="32"/>
        </w:rPr>
        <w:t>1440.94</w:t>
      </w:r>
      <w:r>
        <w:rPr>
          <w:rFonts w:hint="eastAsia" w:ascii="仿宋_GB2312" w:eastAsia="仿宋_GB2312" w:cs="DengXian-Regular"/>
          <w:sz w:val="32"/>
          <w:szCs w:val="32"/>
        </w:rPr>
        <w:t>万元，占84.83%。如图所示：</w: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6128" behindDoc="0" locked="0" layoutInCell="1" allowOverlap="1">
            <wp:simplePos x="0" y="0"/>
            <wp:positionH relativeFrom="column">
              <wp:posOffset>590550</wp:posOffset>
            </wp:positionH>
            <wp:positionV relativeFrom="paragraph">
              <wp:posOffset>53340</wp:posOffset>
            </wp:positionV>
            <wp:extent cx="4472940" cy="2369820"/>
            <wp:effectExtent l="0" t="0" r="3810" b="11430"/>
            <wp:wrapSquare wrapText="bothSides"/>
            <wp:docPr id="74" name="图片 74" descr="53769756159232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37697561592320933"/>
                    <pic:cNvPicPr>
                      <a:picLocks noChangeAspect="1"/>
                    </pic:cNvPicPr>
                  </pic:nvPicPr>
                  <pic:blipFill>
                    <a:blip r:embed="rId9"/>
                    <a:stretch>
                      <a:fillRect/>
                    </a:stretch>
                  </pic:blipFill>
                  <pic:spPr>
                    <a:xfrm>
                      <a:off x="0" y="0"/>
                      <a:ext cx="4472940" cy="2369820"/>
                    </a:xfrm>
                    <a:prstGeom prst="rect">
                      <a:avLst/>
                    </a:prstGeom>
                  </pic:spPr>
                </pic:pic>
              </a:graphicData>
            </a:graphic>
          </wp:anchor>
        </w:drawing>
      </w: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281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hAnsi="Calibri" w:eastAsia="仿宋_GB2312" w:cs="仿宋_GB2312"/>
          <w:color w:val="000000"/>
          <w:sz w:val="32"/>
          <w:szCs w:val="32"/>
        </w:rPr>
        <w:t>1698.69</w:t>
      </w:r>
      <w:r>
        <w:rPr>
          <w:rFonts w:hint="eastAsia" w:ascii="仿宋_GB2312" w:eastAsia="仿宋_GB2312" w:cs="DengXian-Regular"/>
          <w:sz w:val="32"/>
          <w:szCs w:val="32"/>
        </w:rPr>
        <w:t>万元,比2017年度增加</w:t>
      </w:r>
      <w:r>
        <w:rPr>
          <w:rFonts w:hint="eastAsia" w:ascii="仿宋_GB2312" w:hAnsi="Calibri" w:eastAsia="仿宋_GB2312" w:cs="仿宋_GB2312"/>
          <w:color w:val="000000"/>
          <w:sz w:val="32"/>
          <w:szCs w:val="32"/>
        </w:rPr>
        <w:t>413.93</w:t>
      </w:r>
      <w:r>
        <w:rPr>
          <w:rFonts w:hint="eastAsia" w:ascii="仿宋_GB2312" w:eastAsia="仿宋_GB2312" w:cs="DengXian-Regular"/>
          <w:sz w:val="32"/>
          <w:szCs w:val="32"/>
        </w:rPr>
        <w:t>万元，增长</w:t>
      </w:r>
      <w:r>
        <w:rPr>
          <w:rFonts w:hint="eastAsia" w:ascii="仿宋_GB2312" w:hAnsi="Calibri" w:eastAsia="仿宋_GB2312" w:cs="仿宋_GB2312"/>
          <w:color w:val="000000"/>
          <w:sz w:val="32"/>
          <w:szCs w:val="32"/>
        </w:rPr>
        <w:t>28.7</w:t>
      </w:r>
      <w:r>
        <w:rPr>
          <w:rFonts w:hint="eastAsia" w:ascii="仿宋_GB2312" w:eastAsia="仿宋_GB2312" w:cs="DengXian-Regular"/>
          <w:sz w:val="32"/>
          <w:szCs w:val="32"/>
        </w:rPr>
        <w:t>%，主要是</w:t>
      </w:r>
      <w:r>
        <w:rPr>
          <w:rFonts w:hint="eastAsia" w:ascii="仿宋_GB2312" w:hAnsi="Calibri" w:eastAsia="仿宋_GB2312" w:cs="仿宋_GB2312"/>
          <w:color w:val="000000"/>
          <w:sz w:val="32"/>
          <w:szCs w:val="32"/>
        </w:rPr>
        <w:t>文化产业引导资金增多</w:t>
      </w:r>
      <w:r>
        <w:rPr>
          <w:rFonts w:hint="eastAsia" w:ascii="仿宋_GB2312" w:eastAsia="仿宋_GB2312" w:cs="DengXian-Regular"/>
          <w:sz w:val="32"/>
          <w:szCs w:val="32"/>
        </w:rPr>
        <w:t>；本年支出1698.69万元，增加</w:t>
      </w:r>
      <w:r>
        <w:rPr>
          <w:rFonts w:hint="eastAsia" w:ascii="仿宋_GB2312" w:hAnsi="Calibri" w:eastAsia="仿宋_GB2312" w:cs="仿宋_GB2312"/>
          <w:color w:val="000000"/>
          <w:sz w:val="32"/>
          <w:szCs w:val="32"/>
        </w:rPr>
        <w:t>379.05</w:t>
      </w:r>
      <w:r>
        <w:rPr>
          <w:rFonts w:hint="eastAsia" w:ascii="仿宋_GB2312" w:eastAsia="仿宋_GB2312" w:cs="DengXian-Regular"/>
          <w:sz w:val="32"/>
          <w:szCs w:val="32"/>
        </w:rPr>
        <w:t>万元，增长22.31%，主要是对文化产业的支出和</w:t>
      </w:r>
      <w:r>
        <w:rPr>
          <w:rFonts w:hint="eastAsia" w:ascii="仿宋_GB2312" w:eastAsia="仿宋_GB2312"/>
          <w:sz w:val="32"/>
          <w:szCs w:val="32"/>
        </w:rPr>
        <w:t>宣传活动支出增加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1257.12万元，比上年增加272.36万元；主要是文化活动经费和文化产业的增加；本年支出1378.07万元，比上年增加393.31万元，增长28.54%，主要是文化活动经费增加和文化产业的扶持资金。政府性基金预算财政拨款本年收入</w:t>
      </w:r>
      <w:r>
        <w:rPr>
          <w:rFonts w:hint="eastAsia" w:hAnsi="宋体" w:eastAsia="仿宋_GB2312" w:cs="宋体"/>
          <w:sz w:val="32"/>
          <w:szCs w:val="32"/>
        </w:rPr>
        <w:t>320.62</w:t>
      </w:r>
      <w:r>
        <w:rPr>
          <w:rFonts w:hint="eastAsia" w:ascii="仿宋_GB2312" w:eastAsia="仿宋_GB2312" w:cs="DengXian-Regular"/>
          <w:sz w:val="32"/>
          <w:szCs w:val="32"/>
        </w:rPr>
        <w:t>万元，比上年增加20.62万元，增长6.4%，主要原因是耿长锁纪念馆建设资金的增加；本年支出320.62万元，比上年增加20.62万元，增长6.4%，主要是耿长锁纪念馆建设资金的增加。</w:t>
      </w:r>
    </w:p>
    <w:p>
      <w:pPr>
        <w:adjustRightInd w:val="0"/>
        <w:snapToGrid w:val="0"/>
        <w:spacing w:after="0" w:line="580" w:lineRule="exact"/>
        <w:ind w:firstLine="640" w:firstLineChars="200"/>
        <w:rPr>
          <w:rFonts w:ascii="仿宋_GB2312" w:eastAsia="仿宋_GB2312" w:cs="DengXian-Regular"/>
          <w:sz w:val="32"/>
          <w:szCs w:val="32"/>
        </w:rPr>
      </w:pPr>
      <w:r>
        <w:rPr>
          <w:sz w:val="32"/>
        </w:rPr>
        <w:drawing>
          <wp:anchor distT="0" distB="0" distL="114300" distR="114300" simplePos="0" relativeHeight="251693056" behindDoc="0" locked="0" layoutInCell="1" allowOverlap="1">
            <wp:simplePos x="0" y="0"/>
            <wp:positionH relativeFrom="column">
              <wp:posOffset>844550</wp:posOffset>
            </wp:positionH>
            <wp:positionV relativeFrom="paragraph">
              <wp:posOffset>95250</wp:posOffset>
            </wp:positionV>
            <wp:extent cx="3620135" cy="2170430"/>
            <wp:effectExtent l="0" t="0" r="18415" b="1270"/>
            <wp:wrapSquare wrapText="bothSides"/>
            <wp:docPr id="32" name="图片 32" descr="1566526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66526430(1)"/>
                    <pic:cNvPicPr>
                      <a:picLocks noChangeAspect="1"/>
                    </pic:cNvPicPr>
                  </pic:nvPicPr>
                  <pic:blipFill>
                    <a:blip r:embed="rId10"/>
                    <a:stretch>
                      <a:fillRect/>
                    </a:stretch>
                  </pic:blipFill>
                  <pic:spPr>
                    <a:xfrm>
                      <a:off x="0" y="0"/>
                      <a:ext cx="3620135" cy="2170430"/>
                    </a:xfrm>
                    <a:prstGeom prst="rect">
                      <a:avLst/>
                    </a:prstGeom>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689984" behindDoc="1" locked="0" layoutInCell="1" allowOverlap="1">
                <wp:simplePos x="0" y="0"/>
                <wp:positionH relativeFrom="column">
                  <wp:posOffset>850900</wp:posOffset>
                </wp:positionH>
                <wp:positionV relativeFrom="paragraph">
                  <wp:posOffset>229870</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59255" y="9528175"/>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18.1pt;height:42.15pt;width:331.1pt;z-index:-251626496;mso-width-relative:page;mso-height-relative:page;" fillcolor="#FFFFFF [3201]" filled="t" stroked="f" coordsize="21600,21600" o:gfxdata="UEsDBAoAAAAAAIdO4kAAAAAAAAAAAAAAAAAEAAAAZHJzL1BLAwQUAAAACACHTuJAWZ9RHdUAAAAK&#10;AQAADwAAAGRycy9kb3ducmV2LnhtbE2PzU7DMBCE70i8g7VI3KidtBRI4/SAxBWJtvTsxts4Il5H&#10;tvv79GxPcNvRjGa/qZdnP4gjxtQH0lBMFAikNtieOg2b9cfTK4iUDVkzBEINF0ywbO7valPZcKIv&#10;PK5yJ7iEUmU0uJzHSsrUOvQmTcKIxN4+RG8yy9hJG82Jy/0gS6Xm0pue+IMzI747bH9WB69h2/nr&#10;9rsYo7N+mNHn9bLehF7rx4dCLUBkPOe/MNzwGR0aZtqFA9kkBtbTGW/JGqbzEgQHXt5ux46dUj2D&#10;bGr5f0LzC1BLAwQUAAAACACHTuJASsU7yF8CAACdBAAADgAAAGRycy9lMm9Eb2MueG1srVRLbtsw&#10;EN0X6B0I7hvJHzmxYTlwE7goEDQB0qJrmqIsAiSHJWlL6QHaG2TVTfc9l8/RIWUnadpFFtWCGnKe&#10;ZvjezGh+3mlFdsJ5Caakg5OcEmE4VNJsSvrp4+rNGSU+MFMxBUaU9E54er54/Wre2pkYQgOqEo5g&#10;EONnrS1pE4KdZZnnjdDMn4AVBp01OM0Cbt0mqxxrMbpW2TDPJ1kLrrIOuPAeTy97Jz1EdC8JCHUt&#10;ubgEvtXChD6qE4oFpOQbaT1dpNvWteDhuq69CESVFJmGtGIStNdxzRZzNts4ZhvJD1dgL7nCM06a&#10;SYNJH0JdssDI1sm/QmnJHXiowwkHnfVEkiLIYpA/0+a2YVYkLii1tw+i+/8Xln/Y3Tgiq5JOJpQY&#10;prHi+/vv+x+/9j+/ETxDgVrrZ4i7tYgM3VvosG2O5x4PI++udjq+kRGJ/kkxHRYFJXclnRbDs8Fp&#10;0UstukA4AsbDfDw9xSpwRBSjYpQnQPYYyTof3gnQJBoldVjKpDDbXfmAt0LoERITe1CyWkml0sZt&#10;1hfKkR3Dsq/SE9PjJ3/AlCEtEh8VeYpsIH7f45RBeCTeE4xW6NbdQY01VHcohoO+n7zlK4m3vGI+&#10;3DCHDYTEcMTCNS61AkwCB4uSBtzXf51HPNYVvZS02JAl9V+2zAlK1HuDFZ8OxuPYwWkzLk6HuHFP&#10;PeunHrPVF4DkBzjMlicz4oM6mrUD/RkncRmzoosZjrlLGo7mRejHBCeZi+UygbBnLQtX5tbyGDpK&#10;bWC5DVDLVJIoU6/NQT3s2iT7YcLiWDzdJ9TjX2X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mf&#10;UR3VAAAACgEAAA8AAAAAAAAAAQAgAAAAIgAAAGRycy9kb3ducmV2LnhtbFBLAQIUABQAAAAIAIdO&#10;4kBKxTvIXwIAAJ0EAAAOAAAAAAAAAAEAIAAAACQBAABkcnMvZTJvRG9jLnhtbFBLBQYAAAAABgAG&#10;AFkBAAD1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spacing w:after="0" w:line="580" w:lineRule="exact"/>
        <w:ind w:firstLine="643" w:firstLineChars="200"/>
        <w:rPr>
          <w:rFonts w:ascii="楷体_GB2312" w:eastAsia="楷体_GB2312" w:cs="DengXian-Bold"/>
          <w:b/>
          <w:bCs/>
          <w:sz w:val="32"/>
          <w:szCs w:val="32"/>
        </w:rPr>
      </w:pPr>
    </w:p>
    <w:p>
      <w:pPr>
        <w:spacing w:after="0" w:line="580" w:lineRule="exact"/>
        <w:ind w:firstLine="640" w:firstLineChars="200"/>
        <w:rPr>
          <w:rFonts w:ascii="楷体_GB2312" w:eastAsia="楷体_GB2312" w:cs="DengXian-Bold"/>
          <w:b/>
          <w:bCs/>
          <w:sz w:val="32"/>
          <w:szCs w:val="32"/>
        </w:rPr>
      </w:pPr>
      <w:r>
        <w:rPr>
          <w:sz w:val="32"/>
        </w:rPr>
        <mc:AlternateContent>
          <mc:Choice Requires="wps">
            <w:drawing>
              <wp:anchor distT="0" distB="0" distL="114300" distR="114300" simplePos="0" relativeHeight="251697152" behindDoc="0" locked="0" layoutInCell="1" allowOverlap="1">
                <wp:simplePos x="0" y="0"/>
                <wp:positionH relativeFrom="column">
                  <wp:posOffset>433705</wp:posOffset>
                </wp:positionH>
                <wp:positionV relativeFrom="paragraph">
                  <wp:posOffset>205740</wp:posOffset>
                </wp:positionV>
                <wp:extent cx="4381500" cy="647700"/>
                <wp:effectExtent l="0" t="0" r="0" b="0"/>
                <wp:wrapNone/>
                <wp:docPr id="75" name="文本框 75"/>
                <wp:cNvGraphicFramePr/>
                <a:graphic xmlns:a="http://schemas.openxmlformats.org/drawingml/2006/main">
                  <a:graphicData uri="http://schemas.microsoft.com/office/word/2010/wordprocessingShape">
                    <wps:wsp>
                      <wps:cNvSpPr txBox="1"/>
                      <wps:spPr>
                        <a:xfrm>
                          <a:off x="1442085" y="8903970"/>
                          <a:ext cx="438150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color w:val="000000" w:themeColor="text1"/>
                                <w:sz w:val="24"/>
                                <w14:textFill>
                                  <w14:solidFill>
                                    <w14:schemeClr w14:val="tx1"/>
                                  </w14:solidFill>
                                </w14:textFill>
                              </w:rPr>
                            </w:pPr>
                            <w:r>
                              <w:rPr>
                                <w:rFonts w:hint="eastAsia" w:ascii="仿宋_GB2312" w:eastAsia="仿宋_GB2312" w:cs="DengXian-Regular"/>
                                <w:color w:val="000000" w:themeColor="text1"/>
                                <w:sz w:val="24"/>
                                <w14:textFill>
                                  <w14:solidFill>
                                    <w14:schemeClr w14:val="tx1"/>
                                  </w14:solidFill>
                                </w14:textFill>
                              </w:rPr>
                              <w:t>图3： 财政拨款收支与2017年对比情况表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2pt;height:51pt;width:345pt;z-index:251697152;mso-width-relative:page;mso-height-relative:page;" fillcolor="#FFFFFF [3201]" filled="t" stroked="f" coordsize="21600,21600" o:gfxdata="UEsDBAoAAAAAAIdO4kAAAAAAAAAAAAAAAAAEAAAAZHJzL1BLAwQUAAAACACHTuJAM5/N5NQAAAAJ&#10;AQAADwAAAGRycy9kb3ducmV2LnhtbE2PTU/DMAyG70j8h8hI3FjatYypNN0BiSsS29g5a0xTkThV&#10;kn3+erwTHO330evH7ersnThiTGMgBeWsAIHUBzPSoGC7eX9agkhZk9EuECq4YIJVd3/X6saEE33i&#10;cZ0HwSWUGq3A5jw1UqbeotdpFiYkzr5D9DrzGAdpoj5xuXdyXhQL6fVIfMHqCd8s9j/rg1ewG/x1&#10;91VO0Rrvavq4XjbbMCr1+FAWryAynvMfDDd9VoeOnfbhQCYJp2CxrJhUUM1rEJy/PN8WewarugbZ&#10;tfL/B90vUEsDBBQAAAAIAIdO4kC3bSN3WgIAAJ0EAAAOAAAAZHJzL2Uyb0RvYy54bWytVM1uEzEQ&#10;viPxDpbvdDd/TRplU4VWQUgVrRQQZ8frzVqyPcZ2slseAN6gJy7cea4+B2Pvpi2FQw/k4Mx4Jt/4&#10;+2Ymi/NWK3IQzkswBR2c5JQIw6GUZlfQTx/Xb2aU+MBMyRQYUdBb4en58vWrRWPnYgg1qFI4giDG&#10;zxtb0DoEO88yz2uhmT8BKwwGK3CaBXTdLisdaxBdq2yY56dZA660DrjwHm8vuyDtEd1LAKGqJBeX&#10;wPdamNChOqFYQEq+ltbTZXptVQkerqvKi0BUQZFpSCcWQXsbz2y5YPOdY7aWvH8Ce8kTnnHSTBos&#10;+gB1yQIjeyf/gtKSO/BQhRMOOuuIJEWQxSB/ps2mZlYkLii1tw+i+/8Hyz8cbhyRZUGnE0oM09jx&#10;+7vv9z9+3f/8RvAOBWqsn2PexmJmaN9Ci2NzvPd4GXm3ldPxGxmRGB+Ph/kMEW8LOjvLR2fTXmrR&#10;BsIxYTyaDSY5doFjxul4OkUbS2WPSNb58E6AJtEoqMNWJoXZ4cqHLvWYEgt7ULJcS6WS43bbC+XI&#10;gWHb1+nTo/+RpgxpsPpokidkA/H3HbQy+JhIvCMYrdBu216NLZS3KIaDbp685WuJr7xiPtwwhwOE&#10;xHDFwjUelQIsAr1FSQ3u67/uYz72FaOUNDiQBfVf9swJStR7gx0/Q03jBCdnPJkO0XFPI9unEbPX&#10;F4DkB7jMlicz5gd1NCsH+jNu4ipWxRAzHGsXNBzNi9CtCW4yF6tVSsKZtSxcmY3lETpKbWC1D1DJ&#10;1JIoU6dNrx5ObWpqv2FxLZ76KevxX2X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OfzeTUAAAA&#10;CQEAAA8AAAAAAAAAAQAgAAAAIgAAAGRycy9kb3ducmV2LnhtbFBLAQIUABQAAAAIAIdO4kC3bSN3&#10;WgIAAJ0EAAAOAAAAAAAAAAEAIAAAACMBAABkcnMvZTJvRG9jLnhtbFBLBQYAAAAABgAGAFkBAADv&#10;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color w:val="000000" w:themeColor="text1"/>
                          <w:sz w:val="24"/>
                          <w14:textFill>
                            <w14:solidFill>
                              <w14:schemeClr w14:val="tx1"/>
                            </w14:solidFill>
                          </w14:textFill>
                        </w:rPr>
                      </w:pPr>
                      <w:r>
                        <w:rPr>
                          <w:rFonts w:hint="eastAsia" w:ascii="仿宋_GB2312" w:eastAsia="仿宋_GB2312" w:cs="DengXian-Regular"/>
                          <w:color w:val="000000" w:themeColor="text1"/>
                          <w:sz w:val="24"/>
                          <w14:textFill>
                            <w14:solidFill>
                              <w14:schemeClr w14:val="tx1"/>
                            </w14:solidFill>
                          </w14:textFill>
                        </w:rPr>
                        <w:t>图3： 财政拨款收支与2017年对比情况表</w:t>
                      </w:r>
                    </w:p>
                  </w:txbxContent>
                </v:textbox>
              </v:shape>
            </w:pict>
          </mc:Fallback>
        </mc:AlternateConten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1698.69万元，完成年初预算的91.7%,比年初预算减少153.72万元，决算数小于预算数主要原因是文化产业引导资金未全部列支；本年支出1698.69万元，完成年初预算的91.7%,比年初预算减少153.72万元，决算数小于预算数主要原因是文化产业引导资金未全部列支。</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82.07%，比年初预算减少274.67万元，主要是文化产业引导资金未全部列支；支出完成年初预算82.07%，比年初预算减少274.67万元，主要是文化产业引导资金未全部列支。政府性基金预算财政拨款本年收入完成年初预算106.87%，比年初预算增加20.62万元，主要是耿长锁纪念馆建设资金的增加；支出完成年初预算106.87%，比年初预算增加20.62万元，主要是耿长锁纪念馆建设资金的增加。</w:t>
      </w:r>
    </w:p>
    <w:p>
      <w:pPr>
        <w:adjustRightInd w:val="0"/>
        <w:snapToGrid w:val="0"/>
        <w:spacing w:after="0" w:line="580" w:lineRule="exact"/>
        <w:ind w:firstLine="420" w:firstLineChars="200"/>
        <w:rPr>
          <w:rFonts w:ascii="仿宋_GB2312" w:eastAsia="仿宋_GB2312" w:cs="DengXian-Regular"/>
          <w:sz w:val="32"/>
          <w:szCs w:val="32"/>
          <w:highlight w:val="yellow"/>
        </w:rPr>
      </w:pPr>
      <w:r>
        <w:drawing>
          <wp:anchor distT="0" distB="0" distL="114300" distR="114300" simplePos="0" relativeHeight="251694080" behindDoc="0" locked="0" layoutInCell="1" allowOverlap="1">
            <wp:simplePos x="0" y="0"/>
            <wp:positionH relativeFrom="column">
              <wp:posOffset>828675</wp:posOffset>
            </wp:positionH>
            <wp:positionV relativeFrom="paragraph">
              <wp:posOffset>294640</wp:posOffset>
            </wp:positionV>
            <wp:extent cx="3534410" cy="2093595"/>
            <wp:effectExtent l="0" t="0" r="8890" b="1905"/>
            <wp:wrapSquare wrapText="bothSides"/>
            <wp:docPr id="68" name="图片 68" descr="1566528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66528886(1)"/>
                    <pic:cNvPicPr>
                      <a:picLocks noChangeAspect="1"/>
                    </pic:cNvPicPr>
                  </pic:nvPicPr>
                  <pic:blipFill>
                    <a:blip r:embed="rId11"/>
                    <a:stretch>
                      <a:fillRect/>
                    </a:stretch>
                  </pic:blipFill>
                  <pic:spPr>
                    <a:xfrm>
                      <a:off x="0" y="0"/>
                      <a:ext cx="3534410" cy="2093595"/>
                    </a:xfrm>
                    <a:prstGeom prst="rect">
                      <a:avLst/>
                    </a:prstGeom>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sz w:val="32"/>
        </w:rPr>
        <mc:AlternateContent>
          <mc:Choice Requires="wps">
            <w:drawing>
              <wp:anchor distT="0" distB="0" distL="114300" distR="114300" simplePos="0" relativeHeight="251692032" behindDoc="1" locked="0" layoutInCell="1" allowOverlap="1">
                <wp:simplePos x="0" y="0"/>
                <wp:positionH relativeFrom="column">
                  <wp:posOffset>488315</wp:posOffset>
                </wp:positionH>
                <wp:positionV relativeFrom="paragraph">
                  <wp:posOffset>93980</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1115695" y="3953510"/>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38.45pt;margin-top:7.4pt;height:38.95pt;width:343.15pt;z-index:-251624448;mso-width-relative:page;mso-height-relative:page;" fillcolor="#FFFFFF [3201]" filled="t" stroked="f" coordsize="21600,21600" o:gfxdata="UEsDBAoAAAAAAIdO4kAAAAAAAAAAAAAAAAAEAAAAZHJzL1BLAwQUAAAACACHTuJAUdnw+dQAAAAI&#10;AQAADwAAAGRycy9kb3ducmV2LnhtbE2PS0/DMBCE70j8B2uRuFEnoUpoiNMDElck+jq78RJH2Oso&#10;dp+/vtsTHHdmNPtNszx7J444xSGQgnyWgUDqghmoV7BZf768gYhJk9EuECq4YIRl+/jQ6NqEE33j&#10;cZV6wSUUa63ApjTWUsbOotdxFkYk9n7C5HXic+qlmfSJy72TRZaV0uuB+IPVI35Y7H5XB69g1/vr&#10;bpuPkzXezenrellvwqDU81OevYNIeE5/YbjjMzq0zLQPBzJROAVVueAk63NewH5VvhYg9goWRQWy&#10;beT/Ae0NUEsDBBQAAAAIAIdO4kDODpumXAIAAJ0EAAAOAAAAZHJzL2Uyb0RvYy54bWytVMFu2zAM&#10;vQ/YPwi6r7aTOG2COEWWIsOAYi3QDTsrshwLkEVNUmJ3H7D9QU+77L7v6neMkp2263boYTkopPjy&#10;KD6SWZx3jSIHYZ0EXdDsJKVEaA6l1LuCfvq4eXNGifNMl0yBFgW9FY6eL1+/WrRmLkZQgyqFJUii&#10;3bw1Ba29N/MkcbwWDXMnYITGYAW2YR5du0tKy1pkb1QyStNp0oItjQUunMPbiz5IB0b7EkKoKsnF&#10;BfB9I7TvWa1QzGNJrpbG0WV8bVUJ7q+qyglPVEGxUh9PTIL2NpzJcsHmO8tMLfnwBPaSJzyrqWFS&#10;Y9IHqgvmGdlb+RdVI7kFB5U/4dAkfSFREawiS59pc1MzI2ItKLUzD6K7/0fLPxyuLZFlQcenlGjW&#10;YMfv777f//h1//MbGZ0FgVrj5oi7MYj03VvocGyO9w4vQ91dZZvwjRWREM+yfDrLKblF4lk+zrNB&#10;atF5whEwGednaYoAjojJbDKd5oEyeWQy1vl3AhoSjIJabGVUmB0une+hR0hI7EDJciOVio7dbdfK&#10;kgPDtm/iZ2D/A6Y0aQs6HedpZNYQft9TK42PCYX3BQbLd9tuUGML5S2KYaGfJ2f4RuIrL5nz18zi&#10;AOF44Yr5KzwqBZgEBouSGuzXf90HPPYVo5S0OJAFdV/2zApK1HuNHZ9lk0mY4OhM8tMROvZpZPs0&#10;ovfNGrD4DJfZ8GgGvFdHs7LQfMZNXIWsGGKaY+6C+qO59v2a4CZzsVpFEM6sYf5S3xgeqIPUGlZ7&#10;D5WMLQky9doM6uHUxqYOGxbW4qkfUY//K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dnw+dQA&#10;AAAIAQAADwAAAAAAAAABACAAAAAiAAAAZHJzL2Rvd25yZXYueG1sUEsBAhQAFAAAAAgAh07iQM4O&#10;m6ZcAgAAnQQAAA4AAAAAAAAAAQAgAAAAIwEAAGRycy9lMm9Eb2MueG1sUEsFBgAAAAAGAAYAWQEA&#10;APE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w:pict>
          </mc:Fallback>
        </mc:AlternateConten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年度财政拨款支出1698.69万元，主要用于以下方面一般公共服务支出1257.12万元，占74.01%；文化支出97.99万元，占5.77%；社会保障和就业支出22.96万元，占1.35%；城乡和社区支出320.62万元，占 18.87%。</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95104" behindDoc="0" locked="0" layoutInCell="1" allowOverlap="1">
            <wp:simplePos x="0" y="0"/>
            <wp:positionH relativeFrom="column">
              <wp:posOffset>628650</wp:posOffset>
            </wp:positionH>
            <wp:positionV relativeFrom="paragraph">
              <wp:posOffset>12065</wp:posOffset>
            </wp:positionV>
            <wp:extent cx="4465320" cy="2072640"/>
            <wp:effectExtent l="0" t="0" r="11430" b="3810"/>
            <wp:wrapSquare wrapText="bothSides"/>
            <wp:docPr id="69" name="图片 69" descr="1617278110073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1727811007343711"/>
                    <pic:cNvPicPr>
                      <a:picLocks noChangeAspect="1"/>
                    </pic:cNvPicPr>
                  </pic:nvPicPr>
                  <pic:blipFill>
                    <a:blip r:embed="rId12"/>
                    <a:stretch>
                      <a:fillRect/>
                    </a:stretch>
                  </pic:blipFill>
                  <pic:spPr>
                    <a:xfrm>
                      <a:off x="0" y="0"/>
                      <a:ext cx="4465320" cy="2072640"/>
                    </a:xfrm>
                    <a:prstGeom prst="rect">
                      <a:avLst/>
                    </a:prstGeom>
                  </pic:spPr>
                </pic:pic>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32"/>
        </w:rPr>
        <mc:AlternateContent>
          <mc:Choice Requires="wps">
            <w:drawing>
              <wp:anchor distT="0" distB="0" distL="114300" distR="114300" simplePos="0" relativeHeight="251688960" behindDoc="1" locked="0" layoutInCell="1" allowOverlap="1">
                <wp:simplePos x="0" y="0"/>
                <wp:positionH relativeFrom="column">
                  <wp:posOffset>820420</wp:posOffset>
                </wp:positionH>
                <wp:positionV relativeFrom="paragraph">
                  <wp:posOffset>320040</wp:posOffset>
                </wp:positionV>
                <wp:extent cx="3763645" cy="660400"/>
                <wp:effectExtent l="0" t="0" r="8255" b="6350"/>
                <wp:wrapNone/>
                <wp:docPr id="9" name="文本框 32"/>
                <wp:cNvGraphicFramePr/>
                <a:graphic xmlns:a="http://schemas.openxmlformats.org/drawingml/2006/main">
                  <a:graphicData uri="http://schemas.microsoft.com/office/word/2010/wordprocessingShape">
                    <wps:wsp>
                      <wps:cNvSpPr txBox="1"/>
                      <wps:spPr>
                        <a:xfrm>
                          <a:off x="1819275" y="7773670"/>
                          <a:ext cx="3763645" cy="660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64.6pt;margin-top:25.2pt;height:52pt;width:296.35pt;z-index:-251627520;mso-width-relative:page;mso-height-relative:page;" fillcolor="#FFFFFF [3201]" filled="t" stroked="f" coordsize="21600,21600" o:gfxdata="UEsDBAoAAAAAAIdO4kAAAAAAAAAAAAAAAAAEAAAAZHJzL1BLAwQUAAAACACHTuJA6pA42dUAAAAK&#10;AQAADwAAAGRycy9kb3ducmV2LnhtbE2Py07DMBBF90j8gzVI7KidKAWaxukCiS0SbenajYc4qj2O&#10;Yvf59QwrWF7doztnmtUleHHCKQ2RNBQzBQKpi3agXsN28/70CiJlQ9b4SKjhiglW7f1dY2obz/SJ&#10;p3XuBY9Qqo0Gl/NYS5k6h8GkWRyRuPuOUzCZ49RLO5kzjwcvS6WeZTAD8QVnRnxz2B3Wx6Bh14fb&#10;7qsYJ2eDr+jjdt1s46D140OhliAyXvIfDL/6rA4tO+3jkWwSnnO5KBnVMFcVCAZeymIBYs/NvKpA&#10;to38/0L7A1BLAwQUAAAACACHTuJA3RMmVF4CAACcBAAADgAAAGRycy9lMm9Eb2MueG1srVTNbtsw&#10;DL4P2DsIuq92fhq3QZ0ia5FhQLEWyIadFVmOBUiiJimxuwfY3qCnXXbfc/U5RslO23U79LAcHEr8&#10;/JH8SPrsvNOK7IXzEkxJR0c5JcJwqKTZlvTTx9WbE0p8YKZiCowo6a3w9Hzx+tVZa+diDA2oSjiC&#10;JMbPW1vSJgQ7zzLPG6GZPwIrDDprcJoFPLptVjnWIrtW2TjPZ1kLrrIOuPAeby97Jx0Y3UsIoa4l&#10;F5fAd1qY0LM6oVjAknwjraeLlG1dCx6u69qLQFRJsdKQnhgE7U18ZoszNt86ZhvJhxTYS1J4VpNm&#10;0mDQB6pLFhjZOfkXlZbcgYc6HHHQWV9IUgSrGOXPtFk3zIpUC0rt7YPo/v/R8g/7G0dkVdJTSgzT&#10;2PD7u+/3P37d//xGJuOoT2v9HGFri8DQvYUOp+Zw7/Eylt3VTsd/LIhE/8nodFwcU3Jb0qIoJrNi&#10;UFp0gXAETIrZZDZFAEfEbJZP8wTIHpms8+GdAE2iUVKHnUwCs/2VD5gVQg+QGNiDktVKKpUObru5&#10;UI7sGXZ9lX4xYXzlD5gypMXok+M8MRuI7/c4ZRAeC+8LjFboNt2gxgaqWxTDQT9O3vKVxCyvmA83&#10;zOH84HThhoVrfNQKMAgMFiUNuK//uo94bCt6KWlxHkvqv+yYE5So9wYbfjqaTuMAp8P0uBjjwT31&#10;bJ56zE5fABY/wl22PJkRH9TBrB3oz7iIyxgVXcxwjF3ScDAvQr8luMhcLJcJhCNrWbgya8sjdZTa&#10;wHIXoJapJVGmXptBPRzaJPuwYHErnp4T6vGj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pA4&#10;2dUAAAAKAQAADwAAAAAAAAABACAAAAAiAAAAZHJzL2Rvd25yZXYueG1sUEsBAhQAFAAAAAgAh07i&#10;QN0TJlReAgAAnAQAAA4AAAAAAAAAAQAgAAAAJAEAAGRycy9lMm9Eb2MueG1sUEsFBgAAAAAGAAYA&#10;WQEAAPQ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w:pict>
          </mc:Fallback>
        </mc:AlternateConten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384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年度一般公共预算财政拨款基本支出257.76万元，其中：人员经费 179.51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78.25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“三公”经费支出共计1.8</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b/>
          <w:bCs/>
          <w:sz w:val="32"/>
          <w:szCs w:val="32"/>
        </w:rPr>
        <w:t>与年初预算持平</w:t>
      </w:r>
      <w:r>
        <w:rPr>
          <w:rFonts w:hint="eastAsia" w:ascii="仿宋_GB2312" w:eastAsia="仿宋_GB2312" w:cs="DengXian-Regular"/>
          <w:b/>
          <w:bCs/>
          <w:sz w:val="32"/>
          <w:szCs w:val="32"/>
          <w:lang w:eastAsia="zh-CN"/>
        </w:rPr>
        <w:t>，与上年持平</w:t>
      </w:r>
      <w:r>
        <w:rPr>
          <w:rFonts w:hint="eastAsia" w:ascii="仿宋_GB2312" w:eastAsia="仿宋_GB2312" w:cs="DengXian-Regular"/>
          <w:b/>
          <w:bCs/>
          <w:sz w:val="32"/>
          <w:szCs w:val="32"/>
        </w:rPr>
        <w:t>。</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9920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6" name="组合 6"/>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920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4xLREMDAAA6CQAADgAAAGRycy9lMm9Eb2MueG1s&#10;7VbLbtQwFN0j8Q+W9zTJTDIvdVoNHVohFVqpINYex3lIjm1sTzNlzYIlf4DEjm9AfA7iN7i2M+lQ&#10;KtECYoUqpbavfR/H51zP/uGm4eiSaVNLMcfJXowRE1TmtSjn+OWL40cTjIwlIidcCjbHV8zgw4OH&#10;D/ZbNWMDWUmeM43AiTCzVs1xZa2aRZGhFWuI2ZOKCTAWUjfEwlSXUa5JC94bHg3ieBS1UudKS8qM&#10;gdVlMOLOo76LQ1kUNWVLSdcNEzZ41YwTCyWZqlYGH/hsi4JRe1YUhlnE5xgqtf4LQWC8ct/oYJ/M&#10;Sk1UVdMuBXKXFG7U1JBaQNDe1ZJYgta6/slVU1MtjSzsHpVNFArxiEAVSXwDmxMt18rXUs7aUvWg&#10;w0XdQP233dLnl+ca1fkcjzASpIEL//b57df379DIYdOqcgZbTrS6UOe6WyjDzJW7KXTj/kMhaONR&#10;vepRZRuLKCwOJ8NhOs0womDLskkyygLstIK7ccfSLEswctbBKOmNT7rzkyyF3NzhZDiduKPRNnDk&#10;8uvTaRUw0lzDZP4MpouKKObRNw6DDqbBsMfpw6evXz6iZBiA8pt6lMzMAGC3QHRbrVukdipNxh6H&#10;vlIyU9rYEyYb5AZzrIHannHk8tTYAMp2iwtrJK/z45pzP9Hl6ohrdElABsup+/Nn+bp5JvOwPMni&#10;2OsBYpqw3yP9gyMuUDvHgyyFrYgSkH8BsoNho4BCRpQYEV5CX6FW+whCuhwgvVDAkpgqhPNuu8vk&#10;AiK52wuYudFK5leAuJZBsUbR4xrqPiXGnhMNEoX40MTsGXwKLiEp2Y0wqqR+c9u62w+UACtGLUge&#10;En69JpphxJ8KIMs0SVPXI/wkzcYDmOhdy2rXItbNkQQ4gbmQnR+6/ZZvh4WWzSvodQsXFUxEUIgd&#10;oOkmRza0IuiWlC0Wfhv0BUXsqbhQ1Dl3yAm5WFtZ1P6ar9HpQAPKO6H+C+6nN7mf3pP743Gn88m0&#10;670994cD8O5VnoDGdlX+F7m/WMbxYNl59xTcSuTezP7hdCeYQO3H8XiUHPubMxXJWVh18vqlvpyC&#10;76wRu1ltAKdrQvyXy13l4h8OeFJ9h+uef/dm7869vK5/8hx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BfjEtEQwMAADo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0/Lg4b0AAADb&#10;AAAADwAAAGRycy9kb3ducmV2LnhtbEWPT2sCMRTE74V+h/AK3mqyilq2Rg+itHjyH3h9bl53t7t5&#10;WZJU7bc3guBxmJnfMNP51bbiTD7UjjVkfQWCuHCm5lLDYb96/wARIrLB1jFp+KcA89nryxRz4y68&#10;pfMuliJBOOSooYqxy6UMRUUWQ991xMn7cd5iTNKX0ni8JLht5UCpsbRYc1qosKNFRUWz+7MamsNk&#10;U6vF1+9x3YxHfpmdJiN/0rr3lqlPEJGu8Rl+tL+NhsEQ7l/S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uDh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bI8o7wAAADb&#10;AAAADwAAAGRycy9kb3ducmV2LnhtbEWPQWvCQBSE7wX/w/KE3uquUmx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yPKO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 w:hAnsi="仿宋" w:eastAsia="仿宋" w:cs="DengXian-Regular"/>
          <w:sz w:val="32"/>
          <w:szCs w:val="32"/>
        </w:rPr>
        <w:t>本部门2018年度因公出国（境）团组0个、共0人/参加其他单位组织的因公出国（境）团组0个、共0人/无本单位组织的出国（境）团组。因公出国（境）费支出较年初预算</w:t>
      </w:r>
      <w:r>
        <w:rPr>
          <w:rFonts w:hint="eastAsia" w:ascii="仿宋" w:hAnsi="仿宋" w:eastAsia="仿宋" w:cs="DengXian-Regular"/>
          <w:sz w:val="32"/>
          <w:szCs w:val="32"/>
          <w:lang w:eastAsia="zh-CN"/>
        </w:rPr>
        <w:t>持平</w:t>
      </w:r>
      <w:r>
        <w:rPr>
          <w:rFonts w:hint="eastAsia" w:ascii="仿宋" w:hAnsi="仿宋" w:eastAsia="仿宋" w:cs="DengXian-Regular"/>
          <w:sz w:val="32"/>
          <w:szCs w:val="32"/>
        </w:rPr>
        <w:t>,</w:t>
      </w:r>
      <w:r>
        <w:rPr>
          <w:rFonts w:hint="eastAsia" w:ascii="仿宋" w:hAnsi="仿宋" w:eastAsia="仿宋" w:cs="DengXian-Regular"/>
          <w:sz w:val="32"/>
          <w:szCs w:val="32"/>
          <w:lang w:eastAsia="zh-CN"/>
        </w:rPr>
        <w:t>与上年持平，</w:t>
      </w:r>
      <w:r>
        <w:rPr>
          <w:rFonts w:hint="eastAsia" w:ascii="仿宋" w:hAnsi="仿宋" w:eastAsia="仿宋" w:cs="DengXian-Regular"/>
          <w:sz w:val="32"/>
          <w:szCs w:val="32"/>
        </w:rPr>
        <w:t>主要是未发生‘因公出国（境）’经费支出。</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公务用车购置及运行维护费支出1.8万元。</w:t>
      </w:r>
      <w:r>
        <w:rPr>
          <w:rFonts w:hint="eastAsia" w:ascii="仿宋_GB2312" w:eastAsia="仿宋_GB2312" w:cs="DengXian-Regular"/>
          <w:sz w:val="32"/>
          <w:szCs w:val="32"/>
        </w:rPr>
        <w:t>本部门2018年度公务用车购置及运行维护费较年初预算持平</w:t>
      </w:r>
      <w:r>
        <w:rPr>
          <w:rFonts w:hint="eastAsia" w:ascii="仿宋_GB2312" w:eastAsia="仿宋_GB2312" w:cs="DengXian-Regular"/>
          <w:sz w:val="32"/>
          <w:szCs w:val="32"/>
          <w:lang w:eastAsia="zh-CN"/>
        </w:rPr>
        <w:t>，</w:t>
      </w:r>
      <w:r>
        <w:rPr>
          <w:rFonts w:hint="eastAsia" w:ascii="仿宋" w:hAnsi="仿宋" w:eastAsia="仿宋" w:cs="DengXian-Regular"/>
          <w:sz w:val="32"/>
          <w:szCs w:val="32"/>
          <w:lang w:eastAsia="zh-CN"/>
        </w:rPr>
        <w:t>与上年持平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w:t>
      </w:r>
      <w:r>
        <w:rPr>
          <w:rFonts w:hint="eastAsia" w:ascii="仿宋" w:hAnsi="仿宋" w:eastAsia="仿宋" w:cs="DengXian-Regular"/>
          <w:sz w:val="32"/>
          <w:szCs w:val="32"/>
        </w:rPr>
        <w:t>较年初预算</w:t>
      </w:r>
      <w:r>
        <w:rPr>
          <w:rFonts w:hint="eastAsia" w:ascii="仿宋" w:hAnsi="仿宋" w:eastAsia="仿宋" w:cs="DengXian-Regular"/>
          <w:sz w:val="32"/>
          <w:szCs w:val="32"/>
          <w:lang w:eastAsia="zh-CN"/>
        </w:rPr>
        <w:t>持平，与上年持平，</w:t>
      </w:r>
      <w:r>
        <w:rPr>
          <w:rFonts w:hint="eastAsia" w:ascii="仿宋_GB2312" w:eastAsia="仿宋_GB2312" w:cs="DengXian-Regular"/>
          <w:sz w:val="32"/>
          <w:szCs w:val="32"/>
        </w:rPr>
        <w:t>主要是未发生‘公务用车购置’经费支出。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本部门2018年度单位公务用车保有量1辆。公车运行维护费支出与年初预算持平</w:t>
      </w:r>
      <w:r>
        <w:rPr>
          <w:rFonts w:hint="eastAsia" w:ascii="仿宋_GB2312" w:eastAsia="仿宋_GB2312" w:cs="DengXian-Regular"/>
          <w:sz w:val="32"/>
          <w:szCs w:val="32"/>
          <w:lang w:eastAsia="zh-CN"/>
        </w:rPr>
        <w:t>，</w:t>
      </w:r>
      <w:r>
        <w:rPr>
          <w:rFonts w:hint="eastAsia" w:ascii="仿宋" w:hAnsi="仿宋" w:eastAsia="仿宋" w:cs="DengXian-Regular"/>
          <w:sz w:val="32"/>
          <w:szCs w:val="32"/>
          <w:lang w:eastAsia="zh-CN"/>
        </w:rPr>
        <w:t>与上年持平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mc:AlternateContent>
          <mc:Choice Requires="wpg">
            <w:drawing>
              <wp:anchor distT="0" distB="0" distL="114300" distR="114300" simplePos="0" relativeHeight="2517002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5" name="组合 2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02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ASlmMT8DAAA8CQAADgAAAGRycy9lMm9Eb2MueG1s&#10;7VbLbtQwFN0j8Q+W9zTJTOYVdVoNHVohFVqpINYex3lIjm1sTzNlzYIlf4DEjm9AfE7Fb3BtZ9IH&#10;lWhBsEIjZWxf+z6Oz7nJ7v6m4eicaVNLMcfJTowRE1TmtSjn+PWrwydTjIwlIidcCjbHF8zg/b3H&#10;j3ZblbGBrCTPmUbgRJisVXNcWauyKDK0Yg0xO1IxAcZC6oZYmOoyyjVpwXvDo0Ecj6NW6lxpSZkx&#10;sLoMRtx51PdxKIuipmwp6bphwgavmnFioSRT1crgPZ9tUTBqT4rCMIv4HEOl1j8hCIxX7hnt7ZKs&#10;1ERVNe1SIPdJ4VZNDakFBO1dLYklaK3rn1w1NdXSyMLuUNlEoRCPCFSRxLewOdJyrXwtZdaWqgcd&#10;LuoW6r/tlr48P9Wozud4MMJIkAZu/PvX95cfPyBYAHRaVWaw6UirM3Wqu4UyzFzBm0I37h9KQRuP&#10;60WPK9tYRGFxOB0O0xn4p2AbjabJ2LsmGa3gdtyxdDRKMHLWwTjpjc+689NROg6Hk+Fs6rKKtoEj&#10;l1+fTquAk+YKKPNnQJ1VRDGPv3EYbIGa9EB9+nL57TNKhgEov6lHyWQGALsDortq3SJ1rdJk4nHo&#10;KyWZ0sYeMdkgN5hjDeT2nCPnx8YGULZbXFgjeZ0f1pz7iS5XB1yjcwJCWM7cz5/l6+aFzMPydBTH&#10;XhEQ04T9HukbjrhArSNLClsRJdAAChAeDBsFJDKixIjwEjoLtdpHENLlAOmFApbEVCGcd9tdJhcQ&#10;yd1ewMyNVjK/AMS1DJo1ih7WUPcxMfaUaBApxIc2Zk/gUXAJScluhFEl9bu71t1+oARYMWpB9JDw&#10;2zXRDCP+XABZZkmaui7hJ+loMoCJvm5ZXbeIdXMgAU5gLmTnh26/5dthoWXzBrrdwkUFExEUYgdo&#10;usmBDc0I+iVli4XfBp1BEXsszhR1zh1yQi7WVha1v+YrdDrQgPJOqP+C+7Pb3E8fyP0JqMfrfDrr&#10;um/P/eEg7VSeDLyk/gb3F8s4Hiw72nkKbiXyYGbfON0JJlD7aTwZJ4f+5kxFchZWnbx+qS+n4Htr&#10;xG5WG9+S/8vloXLxLw54qfoO130AuLf29bmX19VHz9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n7KztsAAAALAQAADwAAAAAAAAABACAAAAAiAAAAZHJzL2Rvd25yZXYueG1sUEsBAhQAFAAAAAgA&#10;h07iQAEpZjE/AwAAPAkAAA4AAAAAAAAAAQAgAAAAKgEAAGRycy9lMm9Eb2MueG1sUEsFBgAAAAAG&#10;AAYAWQEAANs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rMnm4r0AAADb&#10;AAAADwAAAGRycy9kb3ducmV2LnhtbEWPT2sCMRTE7wW/Q3hCbzVZQbesRg+iWDy1VvD63Dx31928&#10;LEn89+2bQqHHYWZ+w8yXD9uJG/nQONaQjRQI4tKZhisNh+/N2zuIEJENdo5Jw5MCLBeDlzkWxt35&#10;i277WIkE4VCghjrGvpAylDVZDCPXEyfv7LzFmKSvpPF4T3DbybFSU2mx4bRQY0+rmsp2f7Ua2kP+&#10;2ajV9nLctdOJX2enfOJPWr8OMzUDEekR/8N/7Q+jYZzD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ebi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7OTPbwAAADb&#10;AAAADwAAAGRycy9kb3ducmV2LnhtbEWPS4sCMRCE78L+h9AL3pxEDzo7GoUVXDy6PtZrM2lnBied&#10;IYmvf78RBI9FVX1FzRZ324or+dA41jDMFAji0pmGKw373WqQgwgR2WDrmDQ8KMBi/tGbYWHcjX/p&#10;uo2VSBAOBWqoY+wKKUNZk8WQuY44eSfnLcYkfSWNx1uC21aOlBpLiw2nhRo7WtZUnrcXq2G8+V66&#10;cpf//Pljozbusnrkk4PW/c+hmoKIdI/v8Ku9NhpGX/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kz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本部门2018年度没有公务接待。</w:t>
      </w:r>
      <w:r>
        <w:rPr>
          <w:sz w:val="44"/>
        </w:rPr>
        <mc:AlternateContent>
          <mc:Choice Requires="wpg">
            <w:drawing>
              <wp:anchor distT="0" distB="0" distL="114300" distR="114300" simplePos="0" relativeHeight="251701248" behindDoc="0" locked="1" layoutInCell="1" allowOverlap="1">
                <wp:simplePos x="0" y="0"/>
                <wp:positionH relativeFrom="column">
                  <wp:posOffset>-862965</wp:posOffset>
                </wp:positionH>
                <wp:positionV relativeFrom="topMargin">
                  <wp:posOffset>524510</wp:posOffset>
                </wp:positionV>
                <wp:extent cx="3833495" cy="558165"/>
                <wp:effectExtent l="1270" t="0" r="13335" b="13335"/>
                <wp:wrapNone/>
                <wp:docPr id="30" name="组合 3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45pt;margin-top:41.3pt;height:43.95pt;width:301.85pt;mso-position-horizontal-relative:page;mso-position-vertical-relative:page;z-index:251701248;mso-width-relative:page;mso-height-relative:page;" coordorigin="4551,52615" coordsize="8546,1398" o:gfxdata="UEsDBAoAAAAAAIdO4kAAAAAAAAAAAAAAAAAEAAAAZHJzL1BLAwQUAAAACACHTuJAOTPAH9sAAAAL&#10;AQAADwAAAGRycy9kb3ducmV2LnhtbE2PwW7CMBBE75X6D9ZW6g1sQxNoGgdVqO0JVSpUQtxMvCQR&#10;sR3FJoG/7/bUHlf7NPMmX11tywbsQ+OdAjkVwNCV3jSuUvC9e58sgYWondGtd6jghgFWxf1drjPj&#10;R/eFwzZWjEJcyLSCOsYu4zyUNVodpr5DR7+T762OdPYVN70eKdy2fCZEyq1uHDXUusN1jeV5e7EK&#10;PkY9vs7l27A5n9a3wy753G8kKvX4IMULsIjX+AfDrz6pQ0FOR39xJrBWwUTOk2diFSxnKTAintIF&#10;jTkSuhAJ8CLn/zcUP1BLAwQUAAAACACHTuJAPq5xVUADAAA8CQAADgAAAGRycy9lMm9Eb2MueG1s&#10;7VbLbhMxFN0j8Q+W93Rmkpm81LQKDamQCq1UEGvH43lIHtvYTidlzYIlf4DEjm9AfE7Fb3BtT9I2&#10;VKIFwQpFmti+9n0cn3Nn9g/XDUcXTJtaiilO9mKMmKAyr0U5xa9fLZ6MMDKWiJxwKdgUXzKDDw8e&#10;P9pv1YT1ZCV5zjQCJ8JMWjXFlbVqEkWGVqwhZk8qJsBYSN0QC1NdRrkmLXhveNSL40HUSp0rLSkz&#10;BlbnwYg7j/o+DmVR1JTNJV01TNjgVTNOLJRkqloZfOCzLQpG7WlRGGYRn2Ko1PonBIHx0j2jg30y&#10;KTVRVU27FMh9UtipqSG1gKBbV3NiCVrp+idXTU21NLKwe1Q2USjEIwJVJPEONsdarpSvpZy0pdqC&#10;Dhe1g/pvu6UvL840qvMp7gMkgjRw49+/vr/6+AHBAqDTqnICm461Oldnulsow8wVvC504/6hFLT2&#10;uF5ucWVriygs9kf9fjrOMKJgy7JRMsgC8LSC23HH0ixLMHLW3iDZGp9150dZOgiHk/545I5Gm8CR&#10;y2+bTquAk+YaKPNnQJ1XRDGPv3EYbICCTDugPn25+vYZJf0AlN+0RclMDAB2B0R31bpB6kalydDj&#10;sK2UTJQ29pjJBrnBFGsgt+ccuTgxNoCy2eLCGsnrfFFz7ie6XB5xjS4ICGE+dj9/lq+aFzIPy6Ms&#10;jv2dQ0wT9nukbzniArVT3MtS2IoogQZQgPBg2CggkRElRoSX0Fmo1T6CkC4HSC8UMCemCuG82+4y&#10;uYBI7vYCZm60lPklIK5l0KxRdFFD3SfE2DOiQaQQH9qYPYVHwSUkJbsRRpXU7+5ad/uBEmDFqAXR&#10;Q8JvV0QzjPhzAWQZJ2kKbq2fpNmwBxN907K8aRGr5kgCnMAHyM4P3X7LN8NCy+YNdLuZiwomIijE&#10;DtB0kyMbmhH0S8pmM78NOoMi9kScK+qcO+SEnK2sLGp/zdfodKAB5Z1Q/wX3+7vcTx/I/eGw0/lo&#10;3HXfLff7vbRTedLzkvob3J/N47g372jnKbiRyIOZfet0J5hA7afxcJAs/M2ZiuQsrDp5/VJfTsH3&#10;1ohdL9e+Jf+Xy0Pl4l8c8FL1Ha77AHBv7ZtzL6/rj56D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DkzwB/bAAAACwEAAA8AAAAAAAAAAQAgAAAAIgAAAGRycy9kb3ducmV2LnhtbFBLAQIUABQAAAAI&#10;AIdO4kA+rnFV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bVN0L4AAADb&#10;AAAADwAAAGRycy9kb3ducmV2LnhtbEWPzWsCMRTE74X+D+EJvdVkW/xgNXqQFosnq4LX5+a5u+7m&#10;ZUniR/97IxQ8DjPzG2Y6v9lWXMiH2rGGrK9AEBfO1Fxq2G2/38cgQkQ22DomDX8UYD57fZlibtyV&#10;f+myiaVIEA45aqhi7HIpQ1GRxdB3HXHyjs5bjEn6UhqP1wS3rfxQaigt1pwWKuxoUVHRbM5WQ7Mb&#10;rWu1WJ72q2Y48F/ZYTTwB63fepmagIh0i8/wf/vHaPjM4PEl/Q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VN0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4IyCrsAAADb&#10;AAAADwAAAGRycy9kb3ducmV2LnhtbEWPS4sCMRCE7wv+h9CCt51EBXcYjYKC4tH1eW0m7czgpDMk&#10;8fXvNwsLeyyq6itqtnjZVjzIh8axhmGmQBCXzjRcaTge1p85iBCRDbaOScObAizmvY8ZFsY9+Zse&#10;+1iJBOFQoIY6xq6QMpQ1WQyZ64iTd3XeYkzSV9J4fCa4beVIqYm02HBaqLGjVU3lbX+3Gia75cqV&#10;h3xz9pdG7dx9/c6/TloP+kM1BRHpFf/Df+2t0TAew++X9AP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IyC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本部门2018年度公务接待共0批次、0人次。公务接待费支出较年初预算增加0万元，增长0%,</w:t>
      </w:r>
      <w:r>
        <w:rPr>
          <w:rFonts w:hint="eastAsia" w:ascii="仿宋" w:hAnsi="仿宋" w:eastAsia="仿宋" w:cs="DengXian-Regular"/>
          <w:sz w:val="32"/>
          <w:szCs w:val="32"/>
        </w:rPr>
        <w:t>较年初预算</w:t>
      </w:r>
      <w:r>
        <w:rPr>
          <w:rFonts w:hint="eastAsia" w:ascii="仿宋" w:hAnsi="仿宋" w:eastAsia="仿宋" w:cs="DengXian-Regular"/>
          <w:sz w:val="32"/>
          <w:szCs w:val="32"/>
          <w:lang w:eastAsia="zh-CN"/>
        </w:rPr>
        <w:t>持平，与上年持平，</w:t>
      </w:r>
      <w:bookmarkStart w:id="0" w:name="_GoBack"/>
      <w:bookmarkEnd w:id="0"/>
      <w:r>
        <w:rPr>
          <w:rFonts w:hint="eastAsia" w:ascii="仿宋_GB2312" w:eastAsia="仿宋_GB2312" w:cs="DengXian-Regular"/>
          <w:sz w:val="32"/>
          <w:szCs w:val="32"/>
        </w:rPr>
        <w:t>主要是未发生‘公务接待’经费支出。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580" w:lineRule="exact"/>
        <w:ind w:firstLine="643" w:firstLineChars="200"/>
        <w:rPr>
          <w:rFonts w:ascii="仿宋_GB2312" w:eastAsia="仿宋_GB2312" w:cs="DengXian-Regular"/>
          <w:sz w:val="32"/>
          <w:szCs w:val="32"/>
        </w:rPr>
      </w:pPr>
      <w:r>
        <w:rPr>
          <w:rFonts w:hint="eastAsia" w:ascii="仿宋_GB2312" w:eastAsia="仿宋_GB2312" w:cs="DengXian-Regular"/>
          <w:b/>
          <w:bCs/>
          <w:sz w:val="32"/>
          <w:szCs w:val="32"/>
        </w:rPr>
        <w:t>（一）预算绩效管理工作开展情况</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牢牢掌握意识形态工作的领导权、管理权、话语权，组织县委理论学习中心组专题学习9次。采取“流动课堂”、“送课上门”等形式对乡科级以上领导干部进行十九大精神专题轮训，编制印发党委(党组)理论学习中心组学习资料12期，制作习近平“1·5”讲话、十九大精神、全国“两会”精神、中华人民共和国宪法等“天天学习”系列H5作品200余期，《新时代面对面》、《习近平新时代中国特色社会主义思想三十讲》等音频106期，中心组学习新思想视频11期。</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楷体_GB2312" w:eastAsia="仿宋_GB2312" w:cs="楷体_GB2312"/>
          <w:sz w:val="32"/>
          <w:szCs w:val="32"/>
        </w:rPr>
        <w:t>2、全面提升新闻舆论传播力、引导力、影响力、公信力，</w:t>
      </w:r>
      <w:r>
        <w:rPr>
          <w:rFonts w:hint="eastAsia" w:ascii="仿宋_GB2312" w:hAnsi="仿宋_GB2312" w:eastAsia="仿宋_GB2312" w:cs="仿宋_GB2312"/>
          <w:sz w:val="32"/>
          <w:szCs w:val="32"/>
        </w:rPr>
        <w:t>在中央级媒体发表稿件118篇、省级媒体320篇、市级媒体刊650篇；中央电视台《新闻联播》头条播出饶阳县《精准施策 保卫蓝天不放松》，实现了在央视头条刊播新闻的重大突破；中央电视台财经频道对饶阳县厕改工作进行了将近20分钟的深度报道。县广播电视台在衡水台发稿量，常年位于全市前三，《第一家！国家级贫困县贫困村村民参股企业挂牌上市》《饶阳县197个村全部建起党校宣讲十九大》《我县打造“村级党校”成为贯彻落实十九大精神的桥头堡》三篇消息分获第34届河北新闻奖一、二、三等奖。依托《饶阳微发布》等网络平台，发布图文信息700余条，在各大网站刊发稿件500余篇，推送十九大精神解读文章100余篇，《饶阳又上中央电视台啦》等多条网络文章点击量过万，实现了各媒体平台资源共享、信息互通、齐声齐力。大力加强网络舆情监控，充分发挥100余人的网评员、400多名网络文明志愿者的舆论引导作用，网信、公安网监等部门联合行动，对“今日饶阳”等刊发违规内容的自媒体进行约谈，并随时监督，确保了全县网络舆情的可监测、可稳控，全年未出现负面舆情炒作事件。</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楷体_GB2312" w:eastAsia="仿宋_GB2312" w:cs="楷体_GB2312"/>
          <w:sz w:val="32"/>
          <w:szCs w:val="32"/>
        </w:rPr>
        <w:t>3、培树先进典型，培养时代新人，</w:t>
      </w:r>
      <w:r>
        <w:rPr>
          <w:rFonts w:hint="eastAsia" w:ascii="仿宋_GB2312" w:hAnsi="仿宋_GB2312" w:eastAsia="仿宋_GB2312" w:cs="仿宋_GB2312"/>
          <w:sz w:val="32"/>
          <w:szCs w:val="32"/>
        </w:rPr>
        <w:t>全力培育推介重大典型，先后推出了饶阳县林业局技术推广站站长张铁兵、同岳镇司法所长王建立两大典型。张铁兵同志被省委宣传部授予“时代新人·燕赵楷模”荣誉称号，荣登九月份“中国好人榜”，成为河北省十大新闻人物。王建立同志被衡水市委宣传部命名为“将社会主义核心价值观融入法治建设‘最美衡水人’。”积极开展“365百姓故事汇”群众宣讲等系列主题活动，拍摄了12部“文明饶阳”系列微视频，推进社会主义核心价值观向纵深发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楷体_GB2312" w:eastAsia="仿宋_GB2312" w:cs="楷体_GB2312"/>
          <w:sz w:val="32"/>
          <w:szCs w:val="32"/>
        </w:rPr>
        <w:t>4、深化群众性精神文明创建活动，</w:t>
      </w:r>
      <w:r>
        <w:rPr>
          <w:rFonts w:hint="eastAsia" w:ascii="仿宋_GB2312" w:hAnsi="仿宋_GB2312" w:eastAsia="仿宋_GB2312" w:cs="仿宋_GB2312"/>
          <w:sz w:val="32"/>
          <w:szCs w:val="32"/>
        </w:rPr>
        <w:t>以省级文明城市创建工作为抓手，六次召开省级文明城市创建推进会议，组织开展了“创建文明城 我们在行动”、“小手牵大手 共创文明城”、“县直单位与居民小区结对共建”等大型活动，居民小区环境卫生、精神风貌得到大幅度提升。以“讲文明树新风”、“图说核心价值观”为主要内容，设置大型灯箱路牌150块，户外立体广告牌200余块，道旗广告2200多块，街头广告牌1000多块，实现了公益广告抬眼可见、举足即观。深入开展了“文明单位”、“文明乡村”、“文明校园”评选，共评出市级文明单位17个，市级文明村4个，市级文明校园2个，全年共推出河北好人4人，衡水好人2人。</w:t>
      </w:r>
    </w:p>
    <w:p>
      <w:pPr>
        <w:spacing w:line="580" w:lineRule="exact"/>
        <w:ind w:firstLine="640" w:firstLineChars="200"/>
        <w:rPr>
          <w:rFonts w:hint="eastAsia" w:ascii="仿宋_GB2312" w:hAnsi="仿宋" w:eastAsia="仿宋_GB2312"/>
          <w:sz w:val="32"/>
          <w:szCs w:val="32"/>
        </w:rPr>
      </w:pPr>
      <w:r>
        <w:rPr>
          <w:rFonts w:hint="eastAsia" w:ascii="仿宋_GB2312" w:hAnsi="楷体_GB2312" w:eastAsia="仿宋_GB2312" w:cs="楷体_GB2312"/>
          <w:sz w:val="32"/>
          <w:szCs w:val="32"/>
        </w:rPr>
        <w:t>5、推动文化建设迈上新台阶，</w:t>
      </w:r>
      <w:r>
        <w:rPr>
          <w:rFonts w:hint="eastAsia" w:ascii="仿宋_GB2312" w:hAnsi="仿宋_GB2312" w:eastAsia="仿宋_GB2312" w:cs="仿宋_GB2312"/>
          <w:sz w:val="32"/>
          <w:szCs w:val="32"/>
        </w:rPr>
        <w:t>大力开展各种文化活动，先后开展了“学习宣传十九大 情暖社区送祝福”、“送春联下乡”、“新春联谊会”、“书法作品捐赠”等系列活动，开展“送戏下乡”20余场，参与群众达10000余人。先后举办百姓大舞台专场演出活动20多场，成功举办了元宵花会和春节联欢会，群众文化生活进一步提升。</w:t>
      </w:r>
    </w:p>
    <w:p>
      <w:pPr>
        <w:adjustRightInd w:val="0"/>
        <w:snapToGrid w:val="0"/>
        <w:spacing w:after="0" w:line="580" w:lineRule="exact"/>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（二）项目绩效自评结果</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体来看，2018年预算项目理想符合相关管理规定，绩效目标合理，绩效指标清晰，表达准确；项目业务管理制度较健全，业务监控有效性较好；财务管理制度规范，并建立了相应的财务审核和监控措施，内部控制严格有效；项目任务完成质量较好，具有时效性。</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本部门在今年部门决算公开中反映宣传费项目及 春节联欢晚会 项目等3个项目绩效自评结果。</w:t>
      </w:r>
    </w:p>
    <w:p>
      <w:pPr>
        <w:numPr>
          <w:ilvl w:val="0"/>
          <w:numId w:val="3"/>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kern w:val="2"/>
          <w:sz w:val="32"/>
          <w:szCs w:val="32"/>
          <w:lang w:val="en-US" w:eastAsia="zh-CN" w:bidi="ar-SA"/>
        </w:rPr>
        <w:t>宣传费项目自评综述：根据年初设定的绩效目标，</w:t>
      </w:r>
      <w:r>
        <w:rPr>
          <w:rFonts w:hint="eastAsia" w:ascii="仿宋_GB2312" w:hAnsi="仿宋_GB2312" w:eastAsia="仿宋_GB2312" w:cs="仿宋_GB2312"/>
          <w:b w:val="0"/>
          <w:bCs w:val="0"/>
          <w:kern w:val="2"/>
          <w:sz w:val="32"/>
          <w:szCs w:val="32"/>
          <w:highlight w:val="none"/>
          <w:lang w:val="en-US" w:eastAsia="zh-CN" w:bidi="ar-SA"/>
        </w:rPr>
        <w:t>宣传费项目绩效自评得分为100分（绩效自评表附后）。全年预算数为156.47万元，执行数为156.47万元，完成预算的100%。项目绩效目标完成情况：一是：</w:t>
      </w:r>
      <w:r>
        <w:rPr>
          <w:rFonts w:hint="eastAsia" w:ascii="仿宋_GB2312" w:hAnsi="仿宋_GB2312" w:eastAsia="仿宋_GB2312" w:cs="仿宋_GB2312"/>
          <w:sz w:val="32"/>
          <w:szCs w:val="32"/>
          <w:highlight w:val="none"/>
        </w:rPr>
        <w:t>在中央级媒体发表稿件118篇、省级媒体320篇、市级媒体刊650篇；中央电视台《新闻联播》头条播出</w:t>
      </w:r>
      <w:r>
        <w:rPr>
          <w:rFonts w:hint="eastAsia" w:ascii="仿宋_GB2312" w:hAnsi="仿宋_GB2312" w:eastAsia="仿宋_GB2312" w:cs="仿宋_GB2312"/>
          <w:sz w:val="32"/>
          <w:szCs w:val="32"/>
          <w:highlight w:val="none"/>
          <w:lang w:eastAsia="zh-CN"/>
        </w:rPr>
        <w:t>饶阳</w:t>
      </w:r>
      <w:r>
        <w:rPr>
          <w:rFonts w:hint="eastAsia" w:ascii="仿宋_GB2312" w:hAnsi="仿宋_GB2312" w:eastAsia="仿宋_GB2312" w:cs="仿宋_GB2312"/>
          <w:sz w:val="32"/>
          <w:szCs w:val="32"/>
          <w:highlight w:val="none"/>
        </w:rPr>
        <w:t>县《精准施策 保卫蓝天不放松》，实现了在央视头条刊播新闻的重大突破；中央电视台财经频道对</w:t>
      </w:r>
      <w:r>
        <w:rPr>
          <w:rFonts w:hint="eastAsia" w:ascii="仿宋_GB2312" w:hAnsi="仿宋_GB2312" w:eastAsia="仿宋_GB2312" w:cs="仿宋_GB2312"/>
          <w:sz w:val="32"/>
          <w:szCs w:val="32"/>
          <w:highlight w:val="none"/>
          <w:lang w:eastAsia="zh-CN"/>
        </w:rPr>
        <w:t>饶阳</w:t>
      </w:r>
      <w:r>
        <w:rPr>
          <w:rFonts w:hint="eastAsia" w:ascii="仿宋_GB2312" w:hAnsi="仿宋_GB2312" w:eastAsia="仿宋_GB2312" w:cs="仿宋_GB2312"/>
          <w:sz w:val="32"/>
          <w:szCs w:val="32"/>
          <w:highlight w:val="none"/>
        </w:rPr>
        <w:t>县厕改工作进行了将近20分钟的深度报道。</w:t>
      </w:r>
      <w:r>
        <w:rPr>
          <w:rFonts w:hint="eastAsia" w:ascii="仿宋_GB2312" w:hAnsi="仿宋_GB2312" w:eastAsia="仿宋_GB2312" w:cs="仿宋_GB2312"/>
          <w:sz w:val="32"/>
          <w:szCs w:val="32"/>
          <w:highlight w:val="none"/>
          <w:lang w:eastAsia="zh-CN"/>
        </w:rPr>
        <w:t>二是：</w:t>
      </w:r>
      <w:r>
        <w:rPr>
          <w:rFonts w:hint="eastAsia" w:ascii="仿宋_GB2312" w:hAnsi="仿宋_GB2312" w:eastAsia="仿宋_GB2312" w:cs="仿宋_GB2312"/>
          <w:sz w:val="32"/>
          <w:szCs w:val="32"/>
          <w:highlight w:val="none"/>
        </w:rPr>
        <w:t>县广播电视台在衡水台发稿量，常年位于全市前三，《第一家！国家级贫困县贫困村村民参股企业挂牌上市》《饶阳县197个村全部建起党校宣讲十九大》《我县打造“村级党校”成为贯彻落实十九大精神的桥头堡》三篇消息分获第34届河北新闻奖一、二、三等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val="0"/>
          <w:bCs w:val="0"/>
          <w:kern w:val="2"/>
          <w:sz w:val="32"/>
          <w:szCs w:val="32"/>
          <w:highlight w:val="none"/>
          <w:lang w:val="en-US" w:eastAsia="zh-CN" w:bidi="ar-SA"/>
        </w:rPr>
        <w:t>发现的主要问题及原因：无。下一步改进措施：</w:t>
      </w:r>
      <w:r>
        <w:rPr>
          <w:rFonts w:hint="eastAsia" w:ascii="仿宋_GB2312" w:hAnsi="仿宋_GB2312" w:eastAsia="仿宋_GB2312" w:cs="仿宋_GB2312"/>
          <w:sz w:val="32"/>
          <w:szCs w:val="32"/>
          <w:highlight w:val="none"/>
          <w:lang w:eastAsia="zh-CN"/>
        </w:rPr>
        <w:t>无。</w:t>
      </w:r>
    </w:p>
    <w:p>
      <w:pPr>
        <w:widowControl/>
        <w:spacing w:line="0" w:lineRule="atLeast"/>
        <w:jc w:val="left"/>
        <w:rPr>
          <w:rFonts w:hint="eastAsia" w:ascii="仿宋_GB2312" w:hAnsi="仿宋_GB2312" w:eastAsia="仿宋_GB2312" w:cs="仿宋_GB2312"/>
          <w:b w:val="0"/>
          <w:bCs w:val="0"/>
          <w:kern w:val="2"/>
          <w:sz w:val="32"/>
          <w:szCs w:val="32"/>
          <w:lang w:val="en-US" w:eastAsia="zh-CN" w:bidi="ar-SA"/>
        </w:rPr>
      </w:pPr>
    </w:p>
    <w:tbl>
      <w:tblPr>
        <w:tblStyle w:val="12"/>
        <w:tblpPr w:leftFromText="180" w:rightFromText="180" w:vertAnchor="text" w:horzAnchor="margin" w:tblpY="251"/>
        <w:tblW w:w="8946" w:type="dxa"/>
        <w:tblInd w:w="0" w:type="dxa"/>
        <w:tblLayout w:type="fixed"/>
        <w:tblCellMar>
          <w:top w:w="0" w:type="dxa"/>
          <w:left w:w="108" w:type="dxa"/>
          <w:bottom w:w="0" w:type="dxa"/>
          <w:right w:w="108" w:type="dxa"/>
        </w:tblCellMar>
      </w:tblPr>
      <w:tblGrid>
        <w:gridCol w:w="556"/>
        <w:gridCol w:w="2197"/>
        <w:gridCol w:w="2043"/>
        <w:gridCol w:w="1675"/>
        <w:gridCol w:w="442"/>
        <w:gridCol w:w="2033"/>
      </w:tblGrid>
      <w:tr>
        <w:tblPrEx>
          <w:tblCellMar>
            <w:top w:w="0" w:type="dxa"/>
            <w:left w:w="108" w:type="dxa"/>
            <w:bottom w:w="0" w:type="dxa"/>
            <w:right w:w="108" w:type="dxa"/>
          </w:tblCellMar>
        </w:tblPrEx>
        <w:trPr>
          <w:trHeight w:val="753" w:hRule="atLeast"/>
        </w:trPr>
        <w:tc>
          <w:tcPr>
            <w:tcW w:w="8946" w:type="dxa"/>
            <w:gridSpan w:val="6"/>
            <w:tcBorders>
              <w:top w:val="nil"/>
              <w:left w:val="nil"/>
              <w:bottom w:val="nil"/>
              <w:right w:val="nil"/>
            </w:tcBorders>
            <w:vAlign w:val="center"/>
          </w:tcPr>
          <w:p>
            <w:pPr>
              <w:widowControl/>
              <w:spacing w:line="360" w:lineRule="auto"/>
              <w:rPr>
                <w:rFonts w:ascii="仿宋" w:hAnsi="仿宋" w:eastAsia="仿宋" w:cs="宋体"/>
                <w:b/>
                <w:bCs/>
                <w:kern w:val="0"/>
                <w:sz w:val="32"/>
                <w:szCs w:val="32"/>
              </w:rPr>
            </w:pPr>
          </w:p>
          <w:p>
            <w:pPr>
              <w:widowControl/>
              <w:spacing w:line="360" w:lineRule="auto"/>
              <w:jc w:val="center"/>
              <w:rPr>
                <w:rFonts w:ascii="仿宋" w:hAnsi="仿宋" w:eastAsia="仿宋" w:cs="宋体"/>
                <w:b/>
                <w:bCs/>
                <w:kern w:val="0"/>
                <w:sz w:val="32"/>
                <w:szCs w:val="32"/>
              </w:rPr>
            </w:pPr>
            <w:r>
              <w:rPr>
                <w:rFonts w:hint="eastAsia" w:ascii="仿宋" w:hAnsi="仿宋" w:eastAsia="仿宋" w:cs="宋体"/>
                <w:b/>
                <w:bCs/>
                <w:kern w:val="0"/>
                <w:sz w:val="32"/>
                <w:szCs w:val="32"/>
              </w:rPr>
              <w:t>项目绩效情况表</w:t>
            </w:r>
          </w:p>
        </w:tc>
      </w:tr>
      <w:tr>
        <w:tblPrEx>
          <w:tblCellMar>
            <w:top w:w="0" w:type="dxa"/>
            <w:left w:w="108" w:type="dxa"/>
            <w:bottom w:w="0" w:type="dxa"/>
            <w:right w:w="108" w:type="dxa"/>
          </w:tblCellMar>
        </w:tblPrEx>
        <w:trPr>
          <w:trHeight w:val="314" w:hRule="atLeast"/>
        </w:trPr>
        <w:tc>
          <w:tcPr>
            <w:tcW w:w="6471" w:type="dxa"/>
            <w:gridSpan w:val="4"/>
            <w:tcBorders>
              <w:top w:val="nil"/>
              <w:left w:val="nil"/>
              <w:bottom w:val="single" w:color="auto" w:sz="4" w:space="0"/>
              <w:right w:val="nil"/>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475" w:type="dxa"/>
            <w:gridSpan w:val="2"/>
            <w:tcBorders>
              <w:top w:val="nil"/>
              <w:left w:val="nil"/>
              <w:bottom w:val="nil"/>
              <w:right w:val="nil"/>
            </w:tcBorders>
            <w:vAlign w:val="center"/>
          </w:tcPr>
          <w:p>
            <w:pPr>
              <w:widowControl/>
              <w:spacing w:line="360" w:lineRule="auto"/>
              <w:jc w:val="right"/>
              <w:rPr>
                <w:rFonts w:ascii="仿宋" w:hAnsi="仿宋" w:eastAsia="仿宋" w:cs="宋体"/>
                <w:kern w:val="0"/>
                <w:sz w:val="28"/>
                <w:szCs w:val="28"/>
              </w:rPr>
            </w:pPr>
            <w:r>
              <w:rPr>
                <w:rFonts w:hint="eastAsia" w:ascii="仿宋" w:hAnsi="仿宋" w:eastAsia="仿宋" w:cs="宋体"/>
                <w:kern w:val="0"/>
                <w:sz w:val="28"/>
                <w:szCs w:val="28"/>
              </w:rPr>
              <w:t>单位：（万元）</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项目名称</w:t>
            </w:r>
          </w:p>
        </w:tc>
        <w:tc>
          <w:tcPr>
            <w:tcW w:w="6193" w:type="dxa"/>
            <w:gridSpan w:val="4"/>
            <w:tcBorders>
              <w:top w:val="single" w:color="auto" w:sz="4" w:space="0"/>
              <w:left w:val="nil"/>
              <w:bottom w:val="single" w:color="auto" w:sz="4" w:space="0"/>
              <w:right w:val="single" w:color="auto" w:sz="4" w:space="0"/>
            </w:tcBorders>
            <w:vAlign w:val="center"/>
          </w:tcPr>
          <w:p>
            <w:pPr>
              <w:widowControl/>
              <w:spacing w:line="360" w:lineRule="auto"/>
              <w:jc w:val="both"/>
              <w:rPr>
                <w:rFonts w:ascii="仿宋" w:hAnsi="仿宋" w:eastAsia="仿宋" w:cs="宋体"/>
                <w:kern w:val="0"/>
                <w:sz w:val="28"/>
                <w:szCs w:val="28"/>
              </w:rPr>
            </w:pPr>
            <w:r>
              <w:rPr>
                <w:rFonts w:hint="eastAsia" w:ascii="仿宋" w:hAnsi="仿宋" w:eastAsia="仿宋" w:cs="宋体"/>
                <w:kern w:val="0"/>
                <w:sz w:val="28"/>
                <w:szCs w:val="28"/>
                <w:lang w:eastAsia="zh-CN"/>
              </w:rPr>
              <w:t>宣传费</w:t>
            </w: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项目编码</w:t>
            </w:r>
          </w:p>
        </w:tc>
        <w:tc>
          <w:tcPr>
            <w:tcW w:w="2043" w:type="dxa"/>
            <w:tcBorders>
              <w:top w:val="nil"/>
              <w:left w:val="nil"/>
              <w:bottom w:val="single" w:color="auto" w:sz="4" w:space="0"/>
              <w:right w:val="nil"/>
            </w:tcBorders>
            <w:vAlign w:val="top"/>
          </w:tcPr>
          <w:p>
            <w:pPr>
              <w:keepNext w:val="0"/>
              <w:keepLines w:val="0"/>
              <w:widowControl/>
              <w:suppressLineNumbers w:val="0"/>
              <w:jc w:val="left"/>
              <w:textAlignment w:val="top"/>
              <w:rPr>
                <w:rFonts w:ascii="仿宋" w:hAnsi="仿宋" w:eastAsia="仿宋" w:cs="宋体"/>
                <w:kern w:val="0"/>
                <w:sz w:val="28"/>
                <w:szCs w:val="28"/>
              </w:rPr>
            </w:pPr>
            <w:r>
              <w:rPr>
                <w:rFonts w:hint="eastAsia" w:ascii="仿宋" w:hAnsi="仿宋" w:eastAsia="仿宋" w:cs="宋体"/>
                <w:kern w:val="0"/>
                <w:sz w:val="28"/>
                <w:szCs w:val="28"/>
                <w:lang w:val="en-US" w:eastAsia="zh-CN"/>
              </w:rPr>
              <w:t>2018009091</w:t>
            </w:r>
          </w:p>
        </w:tc>
        <w:tc>
          <w:tcPr>
            <w:tcW w:w="2117"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项目负责人</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hint="eastAsia" w:ascii="仿宋" w:hAnsi="仿宋" w:eastAsia="仿宋" w:cs="宋体"/>
                <w:kern w:val="0"/>
                <w:sz w:val="28"/>
                <w:szCs w:val="28"/>
                <w:lang w:eastAsia="zh-CN"/>
              </w:rPr>
            </w:pPr>
            <w:r>
              <w:rPr>
                <w:rFonts w:hint="eastAsia" w:ascii="仿宋" w:hAnsi="仿宋" w:eastAsia="仿宋" w:cs="宋体"/>
                <w:kern w:val="0"/>
                <w:sz w:val="28"/>
                <w:szCs w:val="28"/>
              </w:rPr>
              <w:t>　</w:t>
            </w:r>
            <w:r>
              <w:rPr>
                <w:rFonts w:hint="eastAsia" w:ascii="仿宋" w:hAnsi="仿宋" w:eastAsia="仿宋" w:cs="宋体"/>
                <w:kern w:val="0"/>
                <w:sz w:val="28"/>
                <w:szCs w:val="28"/>
                <w:lang w:eastAsia="zh-CN"/>
              </w:rPr>
              <w:t>张婷婷</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项目单位</w:t>
            </w:r>
          </w:p>
        </w:tc>
        <w:tc>
          <w:tcPr>
            <w:tcW w:w="2043" w:type="dxa"/>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lang w:eastAsia="zh-CN"/>
              </w:rPr>
              <w:t>宣传部</w:t>
            </w:r>
            <w:r>
              <w:rPr>
                <w:rFonts w:hint="eastAsia" w:ascii="仿宋" w:hAnsi="仿宋" w:eastAsia="仿宋" w:cs="宋体"/>
                <w:kern w:val="0"/>
                <w:sz w:val="28"/>
                <w:szCs w:val="28"/>
              </w:rPr>
              <w:t>　</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主管部门</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hint="eastAsia" w:ascii="仿宋" w:hAnsi="仿宋" w:eastAsia="仿宋" w:cs="宋体"/>
                <w:kern w:val="0"/>
                <w:sz w:val="28"/>
                <w:szCs w:val="28"/>
                <w:lang w:eastAsia="zh-CN"/>
              </w:rPr>
            </w:pPr>
            <w:r>
              <w:rPr>
                <w:rFonts w:hint="eastAsia" w:ascii="仿宋" w:hAnsi="仿宋" w:eastAsia="仿宋" w:cs="宋体"/>
                <w:kern w:val="0"/>
                <w:sz w:val="28"/>
                <w:szCs w:val="28"/>
              </w:rPr>
              <w:t>　</w:t>
            </w:r>
            <w:r>
              <w:rPr>
                <w:rFonts w:hint="eastAsia" w:ascii="仿宋" w:hAnsi="仿宋" w:eastAsia="仿宋" w:cs="宋体"/>
                <w:kern w:val="0"/>
                <w:sz w:val="28"/>
                <w:szCs w:val="28"/>
                <w:lang w:eastAsia="zh-CN"/>
              </w:rPr>
              <w:t>宣传部</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项目预算资金</w:t>
            </w:r>
          </w:p>
        </w:tc>
        <w:tc>
          <w:tcPr>
            <w:tcW w:w="2043" w:type="dxa"/>
            <w:tcBorders>
              <w:top w:val="nil"/>
              <w:left w:val="nil"/>
              <w:bottom w:val="single" w:color="auto" w:sz="4" w:space="0"/>
              <w:right w:val="single" w:color="auto" w:sz="4" w:space="0"/>
            </w:tcBorders>
            <w:vAlign w:val="center"/>
          </w:tcPr>
          <w:p>
            <w:pPr>
              <w:widowControl/>
              <w:spacing w:line="360" w:lineRule="auto"/>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156.47</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实际使用资金</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156.47</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项目计划实施时间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计划完成时间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4"/>
                <w:szCs w:val="24"/>
                <w:lang w:val="en-US" w:eastAsia="zh-CN"/>
              </w:rPr>
              <w:t>18</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项目实际实施时间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lang w:val="en-US" w:eastAsia="zh-CN" w:bidi="ar-SA"/>
              </w:rPr>
            </w:pPr>
            <w:r>
              <w:rPr>
                <w:rFonts w:hint="eastAsia" w:ascii="仿宋" w:hAnsi="仿宋" w:eastAsia="仿宋" w:cs="宋体"/>
                <w:kern w:val="0"/>
                <w:sz w:val="24"/>
                <w:szCs w:val="24"/>
                <w:lang w:val="en-US" w:eastAsia="zh-CN"/>
              </w:rPr>
              <w:t>18</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项目评价开始时间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评价结束时间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日</w:t>
            </w:r>
          </w:p>
        </w:tc>
      </w:tr>
      <w:tr>
        <w:tblPrEx>
          <w:tblCellMar>
            <w:top w:w="0" w:type="dxa"/>
            <w:left w:w="108" w:type="dxa"/>
            <w:bottom w:w="0" w:type="dxa"/>
            <w:right w:w="108" w:type="dxa"/>
          </w:tblCellMar>
        </w:tblPrEx>
        <w:trPr>
          <w:trHeight w:val="5453" w:hRule="atLeast"/>
        </w:trPr>
        <w:tc>
          <w:tcPr>
            <w:tcW w:w="556" w:type="dxa"/>
            <w:tcBorders>
              <w:top w:val="nil"/>
              <w:left w:val="single" w:color="auto" w:sz="4" w:space="0"/>
              <w:bottom w:val="single" w:color="auto" w:sz="4" w:space="0"/>
              <w:right w:val="single" w:color="auto" w:sz="4" w:space="0"/>
            </w:tcBorders>
            <w:vAlign w:val="center"/>
          </w:tcPr>
          <w:p>
            <w:pPr>
              <w:widowControl/>
              <w:spacing w:line="0" w:lineRule="atLeast"/>
              <w:jc w:val="center"/>
              <w:rPr>
                <w:rFonts w:ascii="仿宋" w:hAnsi="仿宋" w:eastAsia="仿宋" w:cs="宋体"/>
                <w:kern w:val="0"/>
                <w:sz w:val="28"/>
                <w:szCs w:val="28"/>
              </w:rPr>
            </w:pPr>
            <w:r>
              <w:rPr>
                <w:rFonts w:hint="eastAsia" w:ascii="仿宋" w:hAnsi="仿宋" w:eastAsia="仿宋" w:cs="宋体"/>
                <w:kern w:val="0"/>
                <w:sz w:val="28"/>
                <w:szCs w:val="28"/>
              </w:rPr>
              <w:t>绩效实现情况说明</w:t>
            </w:r>
          </w:p>
        </w:tc>
        <w:tc>
          <w:tcPr>
            <w:tcW w:w="8390" w:type="dxa"/>
            <w:gridSpan w:val="5"/>
            <w:tcBorders>
              <w:top w:val="single" w:color="auto" w:sz="4" w:space="0"/>
              <w:left w:val="nil"/>
              <w:bottom w:val="single" w:color="auto" w:sz="4" w:space="0"/>
              <w:right w:val="single" w:color="000000" w:sz="4" w:space="0"/>
            </w:tcBorders>
            <w:vAlign w:val="top"/>
          </w:tcPr>
          <w:p>
            <w:pPr>
              <w:widowControl/>
              <w:spacing w:line="0" w:lineRule="atLeast"/>
              <w:jc w:val="left"/>
              <w:rPr>
                <w:rFonts w:ascii="仿宋" w:hAnsi="仿宋" w:eastAsia="仿宋" w:cs="宋体"/>
                <w:kern w:val="0"/>
                <w:sz w:val="18"/>
                <w:szCs w:val="18"/>
              </w:rPr>
            </w:pPr>
          </w:p>
          <w:p>
            <w:pPr>
              <w:widowControl/>
              <w:spacing w:line="0" w:lineRule="atLeast"/>
              <w:ind w:firstLine="640" w:firstLineChars="200"/>
              <w:jc w:val="left"/>
              <w:rPr>
                <w:rFonts w:ascii="仿宋" w:hAnsi="仿宋" w:eastAsia="仿宋" w:cs="宋体"/>
                <w:kern w:val="0"/>
                <w:sz w:val="28"/>
                <w:szCs w:val="28"/>
              </w:rPr>
            </w:pPr>
            <w:r>
              <w:rPr>
                <w:rFonts w:hint="eastAsia" w:ascii="仿宋_GB2312" w:hAnsi="仿宋_GB2312" w:eastAsia="仿宋_GB2312" w:cs="仿宋_GB2312"/>
                <w:sz w:val="32"/>
                <w:szCs w:val="32"/>
              </w:rPr>
              <w:t>在中央级媒体发表稿件118篇、省级媒体320篇、市级媒体刊650篇；中央电视台《新闻联播》头条播出</w:t>
            </w:r>
            <w:r>
              <w:rPr>
                <w:rFonts w:hint="eastAsia" w:ascii="仿宋_GB2312" w:hAnsi="仿宋_GB2312" w:eastAsia="仿宋_GB2312" w:cs="仿宋_GB2312"/>
                <w:sz w:val="32"/>
                <w:szCs w:val="32"/>
                <w:lang w:eastAsia="zh-CN"/>
              </w:rPr>
              <w:t>饶阳</w:t>
            </w:r>
            <w:r>
              <w:rPr>
                <w:rFonts w:hint="eastAsia" w:ascii="仿宋_GB2312" w:hAnsi="仿宋_GB2312" w:eastAsia="仿宋_GB2312" w:cs="仿宋_GB2312"/>
                <w:sz w:val="32"/>
                <w:szCs w:val="32"/>
              </w:rPr>
              <w:t>县《精准施策 保卫蓝天不放松》，实现了在央视头条刊播新闻的重大突破；中央电视台财经频道对</w:t>
            </w:r>
            <w:r>
              <w:rPr>
                <w:rFonts w:hint="eastAsia" w:ascii="仿宋_GB2312" w:hAnsi="仿宋_GB2312" w:eastAsia="仿宋_GB2312" w:cs="仿宋_GB2312"/>
                <w:sz w:val="32"/>
                <w:szCs w:val="32"/>
                <w:lang w:eastAsia="zh-CN"/>
              </w:rPr>
              <w:t>饶阳</w:t>
            </w:r>
            <w:r>
              <w:rPr>
                <w:rFonts w:hint="eastAsia" w:ascii="仿宋_GB2312" w:hAnsi="仿宋_GB2312" w:eastAsia="仿宋_GB2312" w:cs="仿宋_GB2312"/>
                <w:sz w:val="32"/>
                <w:szCs w:val="32"/>
              </w:rPr>
              <w:t>县厕改工作进行了将近20分钟的深度报道。县广播电视台在衡水台发稿量，常年位于全市前三，《第一家！国家级贫困县贫困村村民参股企业挂牌上市》《饶阳县197个村全部建起党校宣讲十九大》《我县打造“村级党校”成为贯彻落实十九大精神的桥头堡》三篇消息分获第34届河北新闻奖一、二、三等奖</w:t>
            </w:r>
            <w:r>
              <w:rPr>
                <w:rFonts w:hint="eastAsia" w:ascii="仿宋_GB2312" w:hAnsi="仿宋_GB2312" w:eastAsia="仿宋_GB2312" w:cs="仿宋_GB2312"/>
                <w:sz w:val="32"/>
                <w:szCs w:val="32"/>
                <w:lang w:eastAsia="zh-CN"/>
              </w:rPr>
              <w:t>。</w:t>
            </w:r>
          </w:p>
          <w:p>
            <w:pPr>
              <w:widowControl/>
              <w:spacing w:line="0" w:lineRule="atLeast"/>
              <w:jc w:val="left"/>
              <w:rPr>
                <w:rFonts w:ascii="仿宋" w:hAnsi="仿宋" w:eastAsia="仿宋" w:cs="宋体"/>
                <w:kern w:val="0"/>
                <w:sz w:val="28"/>
                <w:szCs w:val="28"/>
              </w:rPr>
            </w:pPr>
          </w:p>
          <w:p>
            <w:pPr>
              <w:widowControl/>
              <w:spacing w:line="0" w:lineRule="atLeast"/>
              <w:jc w:val="left"/>
              <w:rPr>
                <w:rFonts w:ascii="仿宋" w:hAnsi="仿宋" w:eastAsia="仿宋" w:cs="宋体"/>
                <w:kern w:val="0"/>
                <w:sz w:val="28"/>
                <w:szCs w:val="28"/>
              </w:rPr>
            </w:pPr>
          </w:p>
        </w:tc>
      </w:tr>
    </w:tbl>
    <w:p/>
    <w:p>
      <w:pPr>
        <w:spacing w:line="0" w:lineRule="atLeast"/>
        <w:jc w:val="center"/>
        <w:rPr>
          <w:rFonts w:ascii="仿宋" w:hAnsi="仿宋" w:eastAsia="仿宋"/>
          <w:b/>
          <w:sz w:val="32"/>
          <w:szCs w:val="32"/>
        </w:rPr>
      </w:pPr>
      <w:r>
        <w:rPr>
          <w:rFonts w:hint="eastAsia" w:ascii="仿宋" w:hAnsi="仿宋" w:eastAsia="仿宋"/>
          <w:b/>
          <w:sz w:val="32"/>
          <w:szCs w:val="32"/>
        </w:rPr>
        <w:t>绩效评价得分表</w:t>
      </w:r>
    </w:p>
    <w:p>
      <w:pPr>
        <w:spacing w:line="0" w:lineRule="atLeast"/>
        <w:jc w:val="center"/>
        <w:rPr>
          <w:rFonts w:ascii="仿宋" w:hAnsi="仿宋" w:eastAsia="仿宋"/>
          <w:b/>
          <w:sz w:val="32"/>
          <w:szCs w:val="32"/>
        </w:rPr>
      </w:pPr>
    </w:p>
    <w:tbl>
      <w:tblPr>
        <w:tblStyle w:val="12"/>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948"/>
        <w:gridCol w:w="3131"/>
        <w:gridCol w:w="1584"/>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583" w:lineRule="exact"/>
              <w:ind w:firstLine="636"/>
              <w:jc w:val="center"/>
              <w:rPr>
                <w:rFonts w:ascii="仿宋" w:hAnsi="仿宋" w:eastAsia="仿宋" w:cs="Arial"/>
                <w:sz w:val="24"/>
              </w:rPr>
            </w:pPr>
            <w:r>
              <w:rPr>
                <w:rFonts w:hint="eastAsia" w:ascii="仿宋" w:hAnsi="仿宋" w:eastAsia="仿宋" w:cs="Arial"/>
                <w:sz w:val="24"/>
              </w:rPr>
              <w:t>项目名称</w:t>
            </w:r>
          </w:p>
        </w:tc>
        <w:tc>
          <w:tcPr>
            <w:tcW w:w="5687" w:type="dxa"/>
            <w:gridSpan w:val="3"/>
            <w:vAlign w:val="center"/>
          </w:tcPr>
          <w:p>
            <w:pPr>
              <w:spacing w:line="583" w:lineRule="exact"/>
              <w:jc w:val="both"/>
              <w:rPr>
                <w:rFonts w:ascii="仿宋" w:hAnsi="仿宋" w:eastAsia="仿宋" w:cs="Arial"/>
                <w:sz w:val="24"/>
              </w:rPr>
            </w:pPr>
            <w:r>
              <w:rPr>
                <w:rFonts w:hint="eastAsia" w:ascii="仿宋" w:hAnsi="仿宋" w:eastAsia="仿宋" w:cs="宋体"/>
                <w:kern w:val="0"/>
                <w:sz w:val="28"/>
                <w:szCs w:val="28"/>
                <w:lang w:eastAsia="zh-CN"/>
              </w:rPr>
              <w:t>宣传费</w:t>
            </w:r>
            <w:r>
              <w:rPr>
                <w:rFonts w:hint="eastAsia" w:ascii="仿宋" w:hAnsi="仿宋" w:eastAsia="仿宋" w:cs="宋体"/>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绩效指标说明</w:t>
            </w:r>
          </w:p>
        </w:tc>
        <w:tc>
          <w:tcPr>
            <w:tcW w:w="1584" w:type="dxa"/>
            <w:vAlign w:val="center"/>
          </w:tcPr>
          <w:p>
            <w:pPr>
              <w:spacing w:line="0" w:lineRule="atLeast"/>
              <w:jc w:val="center"/>
              <w:rPr>
                <w:rFonts w:ascii="仿宋" w:hAnsi="仿宋" w:eastAsia="仿宋" w:cs="Arial"/>
                <w:sz w:val="24"/>
              </w:rPr>
            </w:pPr>
            <w:r>
              <w:rPr>
                <w:rFonts w:hint="eastAsia" w:ascii="仿宋" w:hAnsi="仿宋" w:eastAsia="仿宋" w:cs="Arial"/>
                <w:sz w:val="24"/>
              </w:rPr>
              <w:t>完成情况</w:t>
            </w:r>
          </w:p>
        </w:tc>
        <w:tc>
          <w:tcPr>
            <w:tcW w:w="972" w:type="dxa"/>
            <w:vAlign w:val="center"/>
          </w:tcPr>
          <w:p>
            <w:pPr>
              <w:spacing w:line="0" w:lineRule="atLeast"/>
              <w:jc w:val="center"/>
              <w:rPr>
                <w:rFonts w:ascii="仿宋" w:hAnsi="仿宋" w:eastAsia="仿宋" w:cs="Arial"/>
                <w:sz w:val="24"/>
              </w:rPr>
            </w:pPr>
            <w:r>
              <w:rPr>
                <w:rFonts w:hint="eastAsia" w:ascii="仿宋" w:hAnsi="仿宋" w:eastAsia="仿宋" w:cs="Arial"/>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绩效</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信息</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（20分）</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宋体"/>
                <w:bCs/>
                <w:kern w:val="0"/>
                <w:sz w:val="24"/>
              </w:rPr>
              <w:t>绩效目标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与媒体合作，传播饶阳声音。</w:t>
            </w:r>
          </w:p>
        </w:tc>
        <w:tc>
          <w:tcPr>
            <w:tcW w:w="15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已完成</w:t>
            </w:r>
          </w:p>
        </w:tc>
        <w:tc>
          <w:tcPr>
            <w:tcW w:w="9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宋体"/>
                <w:bCs/>
                <w:kern w:val="0"/>
                <w:sz w:val="24"/>
              </w:rPr>
              <w:t>资金使用</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15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9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宋体"/>
                <w:bCs/>
                <w:kern w:val="0"/>
                <w:sz w:val="24"/>
              </w:rPr>
              <w:t>绩效监控</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与各级媒体合作，提升饶阳影响力。</w:t>
            </w:r>
          </w:p>
        </w:tc>
        <w:tc>
          <w:tcPr>
            <w:tcW w:w="15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9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产出</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指标</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（30分）</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宋体"/>
                <w:bCs/>
                <w:kern w:val="0"/>
                <w:sz w:val="24"/>
              </w:rPr>
              <w:t>数量指标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Arial"/>
                <w:sz w:val="24"/>
                <w:lang w:eastAsia="zh-CN"/>
              </w:rPr>
            </w:pPr>
            <w:r>
              <w:rPr>
                <w:rFonts w:hint="eastAsia" w:ascii="仿宋" w:hAnsi="仿宋" w:eastAsia="仿宋" w:cs="Arial"/>
                <w:sz w:val="24"/>
                <w:lang w:eastAsia="zh-CN"/>
              </w:rPr>
              <w:t>稿件原创率</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宋体"/>
                <w:bCs/>
                <w:kern w:val="0"/>
                <w:sz w:val="24"/>
              </w:rPr>
              <w:t>质量指标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lang w:eastAsia="zh-CN"/>
              </w:rPr>
              <w:t>中央级媒体播发饶阳新闻篇数</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118</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效果</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指标</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r>
              <w:rPr>
                <w:rFonts w:hint="eastAsia" w:ascii="仿宋" w:hAnsi="仿宋" w:eastAsia="仿宋" w:cs="Arial"/>
                <w:sz w:val="24"/>
              </w:rPr>
              <w:t>（50分）</w:t>
            </w: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Arial"/>
                <w:kern w:val="2"/>
                <w:sz w:val="24"/>
                <w:szCs w:val="24"/>
                <w:lang w:val="en-US" w:eastAsia="zh-CN" w:bidi="ar-SA"/>
              </w:rPr>
            </w:pPr>
            <w:r>
              <w:rPr>
                <w:rFonts w:hint="eastAsia" w:ascii="仿宋" w:hAnsi="仿宋" w:eastAsia="仿宋" w:cs="宋体"/>
                <w:bCs/>
                <w:kern w:val="0"/>
                <w:sz w:val="24"/>
              </w:rPr>
              <w:t>社会效益指标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Arial"/>
                <w:kern w:val="2"/>
                <w:sz w:val="24"/>
                <w:szCs w:val="24"/>
                <w:lang w:val="en-US" w:eastAsia="zh-CN" w:bidi="ar-SA"/>
              </w:rPr>
            </w:pPr>
            <w:r>
              <w:rPr>
                <w:rFonts w:hint="eastAsia" w:ascii="仿宋" w:hAnsi="仿宋" w:eastAsia="仿宋" w:cs="Arial"/>
                <w:sz w:val="24"/>
                <w:lang w:eastAsia="zh-CN"/>
              </w:rPr>
              <w:t>各级媒体播发饶阳新闻总数</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sz w:val="24"/>
                <w:lang w:val="en-US" w:eastAsia="zh-CN"/>
              </w:rPr>
              <w:t>1088</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kern w:val="2"/>
                <w:sz w:val="24"/>
                <w:szCs w:val="24"/>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19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Cs/>
                <w:kern w:val="0"/>
                <w:sz w:val="24"/>
                <w:szCs w:val="24"/>
                <w:lang w:val="en-US" w:eastAsia="zh-CN" w:bidi="ar-SA"/>
              </w:rPr>
            </w:pPr>
            <w:r>
              <w:rPr>
                <w:rFonts w:hint="eastAsia" w:ascii="仿宋" w:hAnsi="仿宋" w:eastAsia="仿宋" w:cs="宋体"/>
                <w:bCs/>
                <w:kern w:val="0"/>
                <w:sz w:val="24"/>
              </w:rPr>
              <w:t>社会公众满意度</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Arial"/>
                <w:kern w:val="2"/>
                <w:sz w:val="24"/>
                <w:szCs w:val="24"/>
                <w:lang w:val="en-US" w:eastAsia="zh-CN" w:bidi="ar-SA"/>
              </w:rPr>
            </w:pPr>
            <w:r>
              <w:rPr>
                <w:rFonts w:hint="eastAsia" w:ascii="仿宋" w:hAnsi="仿宋" w:eastAsia="仿宋" w:cs="Arial"/>
                <w:sz w:val="24"/>
                <w:lang w:eastAsia="zh-CN"/>
              </w:rPr>
              <w:t>中央级媒体播发新闻占比</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sz w:val="24"/>
                <w:lang w:val="en-US" w:eastAsia="zh-CN"/>
              </w:rPr>
              <w:t>10.85%</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kern w:val="2"/>
                <w:sz w:val="24"/>
                <w:szCs w:val="24"/>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得分合计</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1584"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评价等级</w:t>
            </w:r>
          </w:p>
        </w:tc>
        <w:tc>
          <w:tcPr>
            <w:tcW w:w="5687" w:type="dxa"/>
            <w:gridSpan w:val="3"/>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sym w:font="Wingdings 2" w:char="0052"/>
            </w:r>
            <w:r>
              <w:rPr>
                <w:rFonts w:hint="eastAsia" w:ascii="仿宋" w:hAnsi="仿宋" w:eastAsia="仿宋" w:cs="宋体"/>
                <w:bCs/>
                <w:kern w:val="0"/>
                <w:sz w:val="24"/>
              </w:rPr>
              <w:t>优      □良      □可      □差</w:t>
            </w:r>
          </w:p>
        </w:tc>
      </w:tr>
    </w:tbl>
    <w:p>
      <w:pPr>
        <w:spacing w:line="0" w:lineRule="atLeast"/>
        <w:rPr>
          <w:rFonts w:ascii="仿宋" w:hAnsi="仿宋" w:eastAsia="仿宋"/>
          <w:b/>
          <w:sz w:val="18"/>
          <w:szCs w:val="18"/>
        </w:rPr>
      </w:pPr>
      <w:r>
        <w:rPr>
          <w:rFonts w:hint="eastAsia" w:ascii="仿宋" w:hAnsi="仿宋" w:eastAsia="仿宋"/>
          <w:b/>
          <w:sz w:val="18"/>
          <w:szCs w:val="18"/>
        </w:rPr>
        <w:t>备注：优：９０分以上，良：７０－９０分，可：６０－７０分，差：６０分以下</w:t>
      </w:r>
    </w:p>
    <w:p/>
    <w:p>
      <w:pPr>
        <w:widowControl/>
        <w:spacing w:line="0" w:lineRule="atLeast"/>
        <w:ind w:firstLine="640" w:firstLineChars="200"/>
        <w:jc w:val="left"/>
        <w:rPr>
          <w:rFonts w:hint="eastAsia" w:ascii="仿宋_GB2312" w:hAnsi="仿宋_GB2312" w:eastAsia="仿宋_GB2312" w:cs="仿宋_GB2312"/>
          <w:b w:val="0"/>
          <w:i w:val="0"/>
          <w:caps w:val="0"/>
          <w:color w:val="auto"/>
          <w:spacing w:val="7"/>
          <w:sz w:val="32"/>
          <w:szCs w:val="32"/>
          <w:shd w:val="clear" w:fill="FFFFFF"/>
        </w:rPr>
      </w:pPr>
      <w:r>
        <w:rPr>
          <w:rFonts w:hint="eastAsia" w:ascii="仿宋_GB2312" w:hAnsi="仿宋_GB2312" w:eastAsia="仿宋_GB2312" w:cs="仿宋_GB2312"/>
          <w:b w:val="0"/>
          <w:bCs w:val="0"/>
          <w:kern w:val="2"/>
          <w:sz w:val="32"/>
          <w:szCs w:val="32"/>
          <w:highlight w:val="none"/>
          <w:lang w:val="en-US" w:eastAsia="zh-CN" w:bidi="ar-SA"/>
        </w:rPr>
        <w:t>(2)春节联欢晚会项目自评综述：根据年初设定的绩效目标，春节联欢晚会项目绩效自评得分为100分（绩效自评表附后）。全年预算数为15万元，执行数为15万元，完成预算的100%。项目绩效目标完成情况：一是：</w:t>
      </w:r>
      <w:r>
        <w:rPr>
          <w:rFonts w:hint="eastAsia" w:ascii="仿宋_GB2312" w:hAnsi="仿宋_GB2312" w:eastAsia="仿宋_GB2312" w:cs="仿宋_GB2312"/>
          <w:b w:val="0"/>
          <w:i w:val="0"/>
          <w:caps w:val="0"/>
          <w:color w:val="auto"/>
          <w:spacing w:val="7"/>
          <w:sz w:val="32"/>
          <w:szCs w:val="32"/>
          <w:highlight w:val="none"/>
          <w:shd w:val="clear" w:fill="FFFFFF"/>
        </w:rPr>
        <w:t>在新春到</w:t>
      </w:r>
      <w:r>
        <w:rPr>
          <w:rFonts w:hint="eastAsia" w:ascii="仿宋_GB2312" w:hAnsi="仿宋_GB2312" w:eastAsia="仿宋_GB2312" w:cs="仿宋_GB2312"/>
          <w:b w:val="0"/>
          <w:i w:val="0"/>
          <w:caps w:val="0"/>
          <w:color w:val="auto"/>
          <w:spacing w:val="7"/>
          <w:sz w:val="32"/>
          <w:szCs w:val="32"/>
          <w:shd w:val="clear" w:fill="FFFFFF"/>
        </w:rPr>
        <w:t>来之际，在我县进一步营造学习宣传十九大精神的热烈氛围和浓厚的文化氛围。2月1日晚7点，“2018饶阳县春节联欢晚会”在饶阳县宣传文化中心隆重举行。</w:t>
      </w:r>
      <w:r>
        <w:rPr>
          <w:rFonts w:hint="eastAsia" w:ascii="仿宋_GB2312" w:hAnsi="仿宋_GB2312" w:eastAsia="仿宋_GB2312" w:cs="仿宋_GB2312"/>
          <w:b w:val="0"/>
          <w:i w:val="0"/>
          <w:caps w:val="0"/>
          <w:color w:val="auto"/>
          <w:spacing w:val="7"/>
          <w:sz w:val="32"/>
          <w:szCs w:val="32"/>
          <w:shd w:val="clear" w:fill="FFFFFF"/>
          <w:lang w:eastAsia="zh-CN"/>
        </w:rPr>
        <w:t>全县部分</w:t>
      </w:r>
      <w:r>
        <w:rPr>
          <w:rFonts w:hint="eastAsia" w:ascii="仿宋_GB2312" w:hAnsi="仿宋_GB2312" w:eastAsia="仿宋_GB2312" w:cs="仿宋_GB2312"/>
          <w:b w:val="0"/>
          <w:i w:val="0"/>
          <w:caps w:val="0"/>
          <w:color w:val="auto"/>
          <w:spacing w:val="7"/>
          <w:sz w:val="32"/>
          <w:szCs w:val="32"/>
          <w:shd w:val="clear" w:fill="FFFFFF"/>
        </w:rPr>
        <w:t>干部职工、英模人物以及广大文艺爱好者共计1000余位观众一起观看了演出。</w:t>
      </w:r>
      <w:r>
        <w:rPr>
          <w:rFonts w:hint="eastAsia" w:ascii="仿宋_GB2312" w:hAnsi="仿宋_GB2312" w:eastAsia="仿宋_GB2312" w:cs="仿宋_GB2312"/>
          <w:b w:val="0"/>
          <w:i w:val="0"/>
          <w:caps w:val="0"/>
          <w:color w:val="auto"/>
          <w:spacing w:val="7"/>
          <w:sz w:val="32"/>
          <w:szCs w:val="32"/>
          <w:shd w:val="clear" w:fill="FFFFFF"/>
          <w:lang w:eastAsia="zh-CN"/>
        </w:rPr>
        <w:t>二是：</w:t>
      </w:r>
      <w:r>
        <w:rPr>
          <w:rFonts w:hint="eastAsia" w:ascii="仿宋_GB2312" w:hAnsi="仿宋_GB2312" w:eastAsia="仿宋_GB2312" w:cs="仿宋_GB2312"/>
          <w:b w:val="0"/>
          <w:i w:val="0"/>
          <w:caps w:val="0"/>
          <w:color w:val="auto"/>
          <w:spacing w:val="7"/>
          <w:sz w:val="32"/>
          <w:szCs w:val="32"/>
          <w:shd w:val="clear" w:fill="FFFFFF"/>
        </w:rPr>
        <w:t>精选的16个节目既接地气又上品位，有专业演员实力助阵，也有我县师生、民间团体、草根艺人的倾情出演，涵盖了独唱、合唱、舞蹈、戏曲、情景剧、快板书、乐器演奏等多种表演形式，雅俗共赏、精彩纷呈。晚会现场座无虚席，观众掌声不断、好评如潮。</w:t>
      </w:r>
    </w:p>
    <w:p>
      <w:pPr>
        <w:numPr>
          <w:ilvl w:val="0"/>
          <w:numId w:val="3"/>
        </w:numPr>
        <w:adjustRightInd w:val="0"/>
        <w:snapToGrid w:val="0"/>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val="0"/>
          <w:bCs w:val="0"/>
          <w:kern w:val="2"/>
          <w:sz w:val="32"/>
          <w:szCs w:val="32"/>
          <w:highlight w:val="none"/>
          <w:lang w:val="en-US" w:eastAsia="zh-CN" w:bidi="ar-SA"/>
        </w:rPr>
        <w:t>发现的主要问题及原因：无。下一步改进措施：</w:t>
      </w:r>
      <w:r>
        <w:rPr>
          <w:rFonts w:hint="eastAsia" w:ascii="仿宋_GB2312" w:hAnsi="仿宋_GB2312" w:eastAsia="仿宋_GB2312" w:cs="仿宋_GB2312"/>
          <w:sz w:val="32"/>
          <w:szCs w:val="32"/>
          <w:highlight w:val="none"/>
          <w:lang w:eastAsia="zh-CN"/>
        </w:rPr>
        <w:t>无。</w:t>
      </w:r>
    </w:p>
    <w:p/>
    <w:tbl>
      <w:tblPr>
        <w:tblStyle w:val="12"/>
        <w:tblpPr w:leftFromText="180" w:rightFromText="180" w:vertAnchor="text" w:horzAnchor="margin" w:tblpY="251"/>
        <w:tblW w:w="8946" w:type="dxa"/>
        <w:tblInd w:w="0" w:type="dxa"/>
        <w:tblLayout w:type="fixed"/>
        <w:tblCellMar>
          <w:top w:w="0" w:type="dxa"/>
          <w:left w:w="108" w:type="dxa"/>
          <w:bottom w:w="0" w:type="dxa"/>
          <w:right w:w="108" w:type="dxa"/>
        </w:tblCellMar>
      </w:tblPr>
      <w:tblGrid>
        <w:gridCol w:w="556"/>
        <w:gridCol w:w="2197"/>
        <w:gridCol w:w="2043"/>
        <w:gridCol w:w="1675"/>
        <w:gridCol w:w="442"/>
        <w:gridCol w:w="2033"/>
      </w:tblGrid>
      <w:tr>
        <w:tblPrEx>
          <w:tblCellMar>
            <w:top w:w="0" w:type="dxa"/>
            <w:left w:w="108" w:type="dxa"/>
            <w:bottom w:w="0" w:type="dxa"/>
            <w:right w:w="108" w:type="dxa"/>
          </w:tblCellMar>
        </w:tblPrEx>
        <w:trPr>
          <w:trHeight w:val="753" w:hRule="atLeast"/>
        </w:trPr>
        <w:tc>
          <w:tcPr>
            <w:tcW w:w="8946" w:type="dxa"/>
            <w:gridSpan w:val="6"/>
            <w:tcBorders>
              <w:top w:val="nil"/>
              <w:left w:val="nil"/>
              <w:bottom w:val="nil"/>
              <w:right w:val="nil"/>
            </w:tcBorders>
            <w:vAlign w:val="center"/>
          </w:tcPr>
          <w:p>
            <w:pPr>
              <w:widowControl/>
              <w:spacing w:line="360" w:lineRule="auto"/>
              <w:rPr>
                <w:rFonts w:ascii="仿宋" w:hAnsi="仿宋" w:eastAsia="仿宋" w:cs="宋体"/>
                <w:b/>
                <w:bCs/>
                <w:kern w:val="0"/>
                <w:sz w:val="32"/>
                <w:szCs w:val="32"/>
              </w:rPr>
            </w:pPr>
          </w:p>
          <w:p>
            <w:pPr>
              <w:widowControl/>
              <w:spacing w:line="360" w:lineRule="auto"/>
              <w:jc w:val="center"/>
              <w:rPr>
                <w:rFonts w:ascii="仿宋" w:hAnsi="仿宋" w:eastAsia="仿宋" w:cs="宋体"/>
                <w:b/>
                <w:bCs/>
                <w:kern w:val="0"/>
                <w:sz w:val="32"/>
                <w:szCs w:val="32"/>
              </w:rPr>
            </w:pPr>
            <w:r>
              <w:rPr>
                <w:rFonts w:hint="eastAsia" w:ascii="仿宋" w:hAnsi="仿宋" w:eastAsia="仿宋" w:cs="宋体"/>
                <w:b/>
                <w:bCs/>
                <w:kern w:val="0"/>
                <w:sz w:val="32"/>
                <w:szCs w:val="32"/>
              </w:rPr>
              <w:t>项目绩效情况表</w:t>
            </w:r>
          </w:p>
        </w:tc>
      </w:tr>
      <w:tr>
        <w:tblPrEx>
          <w:tblCellMar>
            <w:top w:w="0" w:type="dxa"/>
            <w:left w:w="108" w:type="dxa"/>
            <w:bottom w:w="0" w:type="dxa"/>
            <w:right w:w="108" w:type="dxa"/>
          </w:tblCellMar>
        </w:tblPrEx>
        <w:trPr>
          <w:trHeight w:val="314" w:hRule="atLeast"/>
        </w:trPr>
        <w:tc>
          <w:tcPr>
            <w:tcW w:w="6471" w:type="dxa"/>
            <w:gridSpan w:val="4"/>
            <w:tcBorders>
              <w:top w:val="nil"/>
              <w:left w:val="nil"/>
              <w:bottom w:val="single" w:color="auto" w:sz="4" w:space="0"/>
              <w:right w:val="nil"/>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475" w:type="dxa"/>
            <w:gridSpan w:val="2"/>
            <w:tcBorders>
              <w:top w:val="nil"/>
              <w:left w:val="nil"/>
              <w:bottom w:val="nil"/>
              <w:right w:val="nil"/>
            </w:tcBorders>
            <w:vAlign w:val="center"/>
          </w:tcPr>
          <w:p>
            <w:pPr>
              <w:widowControl/>
              <w:spacing w:line="360" w:lineRule="auto"/>
              <w:jc w:val="right"/>
              <w:rPr>
                <w:rFonts w:ascii="仿宋" w:hAnsi="仿宋" w:eastAsia="仿宋" w:cs="宋体"/>
                <w:kern w:val="0"/>
                <w:sz w:val="28"/>
                <w:szCs w:val="28"/>
              </w:rPr>
            </w:pPr>
            <w:r>
              <w:rPr>
                <w:rFonts w:hint="eastAsia" w:ascii="仿宋" w:hAnsi="仿宋" w:eastAsia="仿宋" w:cs="宋体"/>
                <w:kern w:val="0"/>
                <w:sz w:val="28"/>
                <w:szCs w:val="28"/>
              </w:rPr>
              <w:t>单位：（万元）</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项目名称</w:t>
            </w:r>
          </w:p>
        </w:tc>
        <w:tc>
          <w:tcPr>
            <w:tcW w:w="6193" w:type="dxa"/>
            <w:gridSpan w:val="4"/>
            <w:tcBorders>
              <w:top w:val="single" w:color="auto" w:sz="4" w:space="0"/>
              <w:left w:val="nil"/>
              <w:bottom w:val="single" w:color="auto" w:sz="4" w:space="0"/>
              <w:right w:val="single" w:color="auto" w:sz="4" w:space="0"/>
            </w:tcBorders>
            <w:vAlign w:val="center"/>
          </w:tcPr>
          <w:p>
            <w:pPr>
              <w:widowControl/>
              <w:spacing w:line="360" w:lineRule="auto"/>
              <w:jc w:val="both"/>
              <w:rPr>
                <w:rFonts w:ascii="仿宋" w:hAnsi="仿宋" w:eastAsia="仿宋" w:cs="宋体"/>
                <w:kern w:val="0"/>
                <w:sz w:val="28"/>
                <w:szCs w:val="28"/>
              </w:rPr>
            </w:pPr>
            <w:r>
              <w:rPr>
                <w:rFonts w:hint="eastAsia" w:ascii="仿宋" w:hAnsi="仿宋" w:eastAsia="仿宋" w:cs="宋体"/>
                <w:kern w:val="0"/>
                <w:sz w:val="28"/>
                <w:szCs w:val="28"/>
                <w:lang w:eastAsia="zh-CN"/>
              </w:rPr>
              <w:t>春节联欢晚会项目</w:t>
            </w: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项目编码</w:t>
            </w:r>
          </w:p>
        </w:tc>
        <w:tc>
          <w:tcPr>
            <w:tcW w:w="2043" w:type="dxa"/>
            <w:tcBorders>
              <w:top w:val="nil"/>
              <w:left w:val="nil"/>
              <w:bottom w:val="single" w:color="auto" w:sz="4" w:space="0"/>
              <w:right w:val="nil"/>
            </w:tcBorders>
            <w:vAlign w:val="top"/>
          </w:tcPr>
          <w:p>
            <w:pPr>
              <w:keepNext w:val="0"/>
              <w:keepLines w:val="0"/>
              <w:widowControl/>
              <w:suppressLineNumbers w:val="0"/>
              <w:jc w:val="left"/>
              <w:textAlignment w:val="top"/>
              <w:rPr>
                <w:rFonts w:hint="eastAsia" w:ascii="宋体" w:hAnsi="宋体" w:eastAsia="宋体" w:cs="宋体"/>
                <w:i w:val="0"/>
                <w:color w:val="000000"/>
                <w:kern w:val="2"/>
                <w:sz w:val="18"/>
                <w:szCs w:val="18"/>
                <w:u w:val="none"/>
                <w:lang w:val="en-US" w:eastAsia="zh-CN" w:bidi="ar-SA"/>
              </w:rPr>
            </w:pPr>
            <w:r>
              <w:rPr>
                <w:rFonts w:hint="eastAsia" w:ascii="仿宋" w:hAnsi="仿宋" w:eastAsia="仿宋" w:cs="宋体"/>
                <w:kern w:val="0"/>
                <w:sz w:val="28"/>
                <w:szCs w:val="28"/>
                <w:lang w:val="en-US" w:eastAsia="zh-CN"/>
              </w:rPr>
              <w:t>2018009227</w:t>
            </w:r>
          </w:p>
        </w:tc>
        <w:tc>
          <w:tcPr>
            <w:tcW w:w="2117"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项目负责人</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eastAsia="zh-CN"/>
              </w:rPr>
              <w:t>胡宾</w:t>
            </w: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项目单位</w:t>
            </w:r>
          </w:p>
        </w:tc>
        <w:tc>
          <w:tcPr>
            <w:tcW w:w="2043" w:type="dxa"/>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lang w:eastAsia="zh-CN"/>
              </w:rPr>
              <w:t>宣传部</w:t>
            </w:r>
            <w:r>
              <w:rPr>
                <w:rFonts w:hint="eastAsia" w:ascii="仿宋" w:hAnsi="仿宋" w:eastAsia="仿宋" w:cs="宋体"/>
                <w:kern w:val="0"/>
                <w:sz w:val="28"/>
                <w:szCs w:val="28"/>
              </w:rPr>
              <w:t>　</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主管部门</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hint="eastAsia" w:ascii="仿宋" w:hAnsi="仿宋" w:eastAsia="仿宋" w:cs="宋体"/>
                <w:kern w:val="0"/>
                <w:sz w:val="28"/>
                <w:szCs w:val="28"/>
                <w:lang w:eastAsia="zh-CN"/>
              </w:rPr>
            </w:pPr>
            <w:r>
              <w:rPr>
                <w:rFonts w:hint="eastAsia" w:ascii="仿宋" w:hAnsi="仿宋" w:eastAsia="仿宋" w:cs="宋体"/>
                <w:kern w:val="0"/>
                <w:sz w:val="28"/>
                <w:szCs w:val="28"/>
              </w:rPr>
              <w:t>　</w:t>
            </w:r>
            <w:r>
              <w:rPr>
                <w:rFonts w:hint="eastAsia" w:ascii="仿宋" w:hAnsi="仿宋" w:eastAsia="仿宋" w:cs="宋体"/>
                <w:kern w:val="0"/>
                <w:sz w:val="28"/>
                <w:szCs w:val="28"/>
                <w:lang w:eastAsia="zh-CN"/>
              </w:rPr>
              <w:t>宣传部</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项目预算资金</w:t>
            </w:r>
          </w:p>
        </w:tc>
        <w:tc>
          <w:tcPr>
            <w:tcW w:w="2043" w:type="dxa"/>
            <w:tcBorders>
              <w:top w:val="nil"/>
              <w:left w:val="nil"/>
              <w:bottom w:val="single" w:color="auto" w:sz="4" w:space="0"/>
              <w:right w:val="single" w:color="auto" w:sz="4" w:space="0"/>
            </w:tcBorders>
            <w:vAlign w:val="center"/>
          </w:tcPr>
          <w:p>
            <w:pPr>
              <w:widowControl/>
              <w:spacing w:line="360" w:lineRule="auto"/>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15</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实际使用资金</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15</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项目计划实施时间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4"/>
                <w:szCs w:val="24"/>
              </w:rPr>
            </w:pPr>
            <w:r>
              <w:rPr>
                <w:rFonts w:hint="eastAsia" w:ascii="仿宋" w:hAnsi="仿宋" w:eastAsia="仿宋" w:cs="宋体"/>
                <w:kern w:val="0"/>
                <w:sz w:val="24"/>
                <w:szCs w:val="24"/>
                <w:lang w:val="en-US" w:eastAsia="zh-CN"/>
              </w:rPr>
              <w:t>17</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计划完成时间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项目实际实施时间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4"/>
                <w:szCs w:val="24"/>
                <w:lang w:val="en-US" w:eastAsia="zh-CN"/>
              </w:rPr>
              <w:t>17</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项目评价开始时间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评价结束时间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日</w:t>
            </w:r>
          </w:p>
        </w:tc>
      </w:tr>
      <w:tr>
        <w:tblPrEx>
          <w:tblCellMar>
            <w:top w:w="0" w:type="dxa"/>
            <w:left w:w="108" w:type="dxa"/>
            <w:bottom w:w="0" w:type="dxa"/>
            <w:right w:w="108" w:type="dxa"/>
          </w:tblCellMar>
        </w:tblPrEx>
        <w:trPr>
          <w:trHeight w:val="5453" w:hRule="atLeast"/>
        </w:trPr>
        <w:tc>
          <w:tcPr>
            <w:tcW w:w="556" w:type="dxa"/>
            <w:tcBorders>
              <w:top w:val="nil"/>
              <w:left w:val="single" w:color="auto" w:sz="4" w:space="0"/>
              <w:bottom w:val="single" w:color="auto" w:sz="4" w:space="0"/>
              <w:right w:val="single" w:color="auto" w:sz="4" w:space="0"/>
            </w:tcBorders>
            <w:vAlign w:val="center"/>
          </w:tcPr>
          <w:p>
            <w:pPr>
              <w:widowControl/>
              <w:spacing w:line="0" w:lineRule="atLeast"/>
              <w:jc w:val="center"/>
              <w:rPr>
                <w:rFonts w:ascii="仿宋" w:hAnsi="仿宋" w:eastAsia="仿宋" w:cs="宋体"/>
                <w:kern w:val="0"/>
                <w:sz w:val="28"/>
                <w:szCs w:val="28"/>
              </w:rPr>
            </w:pPr>
          </w:p>
        </w:tc>
        <w:tc>
          <w:tcPr>
            <w:tcW w:w="8390" w:type="dxa"/>
            <w:gridSpan w:val="5"/>
            <w:tcBorders>
              <w:top w:val="single" w:color="auto" w:sz="4" w:space="0"/>
              <w:left w:val="nil"/>
              <w:bottom w:val="single" w:color="auto" w:sz="4" w:space="0"/>
              <w:right w:val="single" w:color="000000" w:sz="4" w:space="0"/>
            </w:tcBorders>
            <w:vAlign w:val="top"/>
          </w:tcPr>
          <w:p>
            <w:pPr>
              <w:widowControl/>
              <w:spacing w:line="0" w:lineRule="atLeast"/>
              <w:jc w:val="left"/>
              <w:rPr>
                <w:rFonts w:ascii="仿宋" w:hAnsi="仿宋" w:eastAsia="仿宋" w:cs="宋体"/>
                <w:kern w:val="0"/>
                <w:sz w:val="18"/>
                <w:szCs w:val="18"/>
              </w:rPr>
            </w:pPr>
          </w:p>
          <w:p>
            <w:pPr>
              <w:widowControl/>
              <w:spacing w:line="0" w:lineRule="atLeast"/>
              <w:jc w:val="left"/>
              <w:rPr>
                <w:rFonts w:hint="eastAsia" w:ascii="仿宋_GB2312" w:hAnsi="仿宋_GB2312" w:eastAsia="仿宋_GB2312" w:cs="仿宋_GB2312"/>
                <w:b w:val="0"/>
                <w:i w:val="0"/>
                <w:caps w:val="0"/>
                <w:color w:val="auto"/>
                <w:spacing w:val="7"/>
                <w:sz w:val="32"/>
                <w:szCs w:val="32"/>
                <w:shd w:val="clear" w:fill="FFFFFF"/>
              </w:rPr>
            </w:pPr>
            <w:r>
              <w:rPr>
                <w:rFonts w:hint="eastAsia" w:ascii="仿宋_GB2312" w:hAnsi="仿宋_GB2312" w:eastAsia="仿宋_GB2312" w:cs="仿宋_GB2312"/>
                <w:b w:val="0"/>
                <w:i w:val="0"/>
                <w:caps w:val="0"/>
                <w:color w:val="auto"/>
                <w:spacing w:val="7"/>
                <w:sz w:val="32"/>
                <w:szCs w:val="32"/>
                <w:shd w:val="clear" w:fill="FFFFFF"/>
              </w:rPr>
              <w:t>在新春到来之际，在我县进一步营造学习宣传十九大精神的热烈氛围和浓厚的文化氛围。2月1日晚7点，“2018饶阳县春节联欢晚会”在饶阳县宣传文化中心隆重举行。</w:t>
            </w:r>
            <w:r>
              <w:rPr>
                <w:rFonts w:hint="eastAsia" w:ascii="仿宋_GB2312" w:hAnsi="仿宋_GB2312" w:eastAsia="仿宋_GB2312" w:cs="仿宋_GB2312"/>
                <w:b w:val="0"/>
                <w:i w:val="0"/>
                <w:caps w:val="0"/>
                <w:color w:val="auto"/>
                <w:spacing w:val="7"/>
                <w:sz w:val="32"/>
                <w:szCs w:val="32"/>
                <w:shd w:val="clear" w:fill="FFFFFF"/>
                <w:lang w:eastAsia="zh-CN"/>
              </w:rPr>
              <w:t>全县部分</w:t>
            </w:r>
            <w:r>
              <w:rPr>
                <w:rFonts w:hint="eastAsia" w:ascii="仿宋_GB2312" w:hAnsi="仿宋_GB2312" w:eastAsia="仿宋_GB2312" w:cs="仿宋_GB2312"/>
                <w:b w:val="0"/>
                <w:i w:val="0"/>
                <w:caps w:val="0"/>
                <w:color w:val="auto"/>
                <w:spacing w:val="7"/>
                <w:sz w:val="32"/>
                <w:szCs w:val="32"/>
                <w:shd w:val="clear" w:fill="FFFFFF"/>
              </w:rPr>
              <w:t>干部职工、英模人物以及广大文艺爱好者共计1000余位观众一起观看了演出。</w:t>
            </w:r>
          </w:p>
          <w:p>
            <w:pPr>
              <w:widowControl/>
              <w:spacing w:line="0" w:lineRule="atLeast"/>
              <w:ind w:firstLine="668" w:firstLineChars="200"/>
              <w:jc w:val="left"/>
              <w:rPr>
                <w:rFonts w:hint="eastAsia" w:ascii="仿宋_GB2312" w:hAnsi="仿宋_GB2312" w:eastAsia="仿宋_GB2312" w:cs="仿宋_GB2312"/>
                <w:b w:val="0"/>
                <w:i w:val="0"/>
                <w:caps w:val="0"/>
                <w:color w:val="auto"/>
                <w:spacing w:val="7"/>
                <w:sz w:val="32"/>
                <w:szCs w:val="32"/>
                <w:shd w:val="clear" w:fill="FFFFFF"/>
              </w:rPr>
            </w:pPr>
            <w:r>
              <w:rPr>
                <w:rFonts w:hint="eastAsia" w:ascii="仿宋_GB2312" w:hAnsi="仿宋_GB2312" w:eastAsia="仿宋_GB2312" w:cs="仿宋_GB2312"/>
                <w:b w:val="0"/>
                <w:i w:val="0"/>
                <w:caps w:val="0"/>
                <w:color w:val="auto"/>
                <w:spacing w:val="7"/>
                <w:sz w:val="32"/>
                <w:szCs w:val="32"/>
                <w:shd w:val="clear" w:fill="FFFFFF"/>
              </w:rPr>
              <w:t>精选的16个节目既接地气又上品位，有专业演员实力助阵，也有我县师生、民间团体、草根艺人的倾情出演，涵盖了独唱、合唱、舞蹈、戏曲、情景剧、快板书、乐器演奏等多种表演形式，雅俗共赏、精彩纷呈。晚会现场座无虚席，观众掌声不断、好评如潮。</w:t>
            </w:r>
          </w:p>
          <w:p>
            <w:pPr>
              <w:widowControl/>
              <w:spacing w:line="0" w:lineRule="atLeast"/>
              <w:jc w:val="left"/>
              <w:rPr>
                <w:rFonts w:ascii="仿宋" w:hAnsi="仿宋" w:eastAsia="仿宋" w:cs="宋体"/>
                <w:kern w:val="0"/>
                <w:sz w:val="28"/>
                <w:szCs w:val="28"/>
              </w:rPr>
            </w:pPr>
          </w:p>
        </w:tc>
      </w:tr>
    </w:tbl>
    <w:p/>
    <w:p>
      <w:pPr>
        <w:spacing w:line="0" w:lineRule="atLeast"/>
        <w:jc w:val="center"/>
        <w:rPr>
          <w:rFonts w:ascii="仿宋" w:hAnsi="仿宋" w:eastAsia="仿宋"/>
          <w:b/>
          <w:sz w:val="32"/>
          <w:szCs w:val="32"/>
        </w:rPr>
      </w:pPr>
      <w:r>
        <w:rPr>
          <w:rFonts w:hint="eastAsia" w:ascii="仿宋" w:hAnsi="仿宋" w:eastAsia="仿宋"/>
          <w:b/>
          <w:sz w:val="32"/>
          <w:szCs w:val="32"/>
        </w:rPr>
        <w:t>绩效评价得分表</w:t>
      </w:r>
    </w:p>
    <w:p>
      <w:pPr>
        <w:spacing w:line="0" w:lineRule="atLeast"/>
        <w:jc w:val="center"/>
        <w:rPr>
          <w:rFonts w:ascii="仿宋" w:hAnsi="仿宋" w:eastAsia="仿宋"/>
          <w:b/>
          <w:sz w:val="32"/>
          <w:szCs w:val="32"/>
        </w:rPr>
      </w:pPr>
    </w:p>
    <w:tbl>
      <w:tblPr>
        <w:tblStyle w:val="12"/>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948"/>
        <w:gridCol w:w="3131"/>
        <w:gridCol w:w="1584"/>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583" w:lineRule="exact"/>
              <w:ind w:firstLine="636"/>
              <w:jc w:val="center"/>
              <w:rPr>
                <w:rFonts w:ascii="仿宋" w:hAnsi="仿宋" w:eastAsia="仿宋" w:cs="Arial"/>
                <w:sz w:val="24"/>
              </w:rPr>
            </w:pPr>
            <w:r>
              <w:rPr>
                <w:rFonts w:hint="eastAsia" w:ascii="仿宋" w:hAnsi="仿宋" w:eastAsia="仿宋" w:cs="Arial"/>
                <w:sz w:val="24"/>
              </w:rPr>
              <w:t>项目名称</w:t>
            </w:r>
          </w:p>
        </w:tc>
        <w:tc>
          <w:tcPr>
            <w:tcW w:w="5687" w:type="dxa"/>
            <w:gridSpan w:val="3"/>
            <w:vAlign w:val="center"/>
          </w:tcPr>
          <w:p>
            <w:pPr>
              <w:spacing w:line="583" w:lineRule="exact"/>
              <w:jc w:val="both"/>
              <w:rPr>
                <w:rFonts w:hint="eastAsia" w:ascii="仿宋" w:hAnsi="仿宋" w:eastAsia="仿宋" w:cs="Arial"/>
                <w:sz w:val="24"/>
                <w:lang w:eastAsia="zh-CN"/>
              </w:rPr>
            </w:pPr>
            <w:r>
              <w:rPr>
                <w:rFonts w:hint="eastAsia" w:ascii="仿宋" w:hAnsi="仿宋" w:eastAsia="仿宋" w:cs="Arial"/>
                <w:sz w:val="24"/>
                <w:lang w:eastAsia="zh-CN"/>
              </w:rPr>
              <w:t>春节晚会项目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绩效指标说明</w:t>
            </w:r>
          </w:p>
        </w:tc>
        <w:tc>
          <w:tcPr>
            <w:tcW w:w="1584" w:type="dxa"/>
            <w:vAlign w:val="center"/>
          </w:tcPr>
          <w:p>
            <w:pPr>
              <w:spacing w:line="0" w:lineRule="atLeast"/>
              <w:jc w:val="center"/>
              <w:rPr>
                <w:rFonts w:ascii="仿宋" w:hAnsi="仿宋" w:eastAsia="仿宋" w:cs="Arial"/>
                <w:sz w:val="24"/>
              </w:rPr>
            </w:pPr>
            <w:r>
              <w:rPr>
                <w:rFonts w:hint="eastAsia" w:ascii="仿宋" w:hAnsi="仿宋" w:eastAsia="仿宋" w:cs="Arial"/>
                <w:sz w:val="24"/>
              </w:rPr>
              <w:t>完成情况</w:t>
            </w:r>
          </w:p>
        </w:tc>
        <w:tc>
          <w:tcPr>
            <w:tcW w:w="972" w:type="dxa"/>
            <w:vAlign w:val="center"/>
          </w:tcPr>
          <w:p>
            <w:pPr>
              <w:spacing w:line="0" w:lineRule="atLeast"/>
              <w:jc w:val="center"/>
              <w:rPr>
                <w:rFonts w:ascii="仿宋" w:hAnsi="仿宋" w:eastAsia="仿宋" w:cs="Arial"/>
                <w:sz w:val="24"/>
              </w:rPr>
            </w:pPr>
            <w:r>
              <w:rPr>
                <w:rFonts w:hint="eastAsia" w:ascii="仿宋" w:hAnsi="仿宋" w:eastAsia="仿宋" w:cs="Arial"/>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spacing w:line="0" w:lineRule="atLeast"/>
              <w:jc w:val="center"/>
              <w:rPr>
                <w:rFonts w:ascii="仿宋" w:hAnsi="仿宋" w:eastAsia="仿宋" w:cs="Arial"/>
                <w:sz w:val="24"/>
              </w:rPr>
            </w:pPr>
            <w:r>
              <w:rPr>
                <w:rFonts w:hint="eastAsia" w:ascii="仿宋" w:hAnsi="仿宋" w:eastAsia="仿宋" w:cs="Arial"/>
                <w:sz w:val="24"/>
              </w:rPr>
              <w:t>绩效</w:t>
            </w:r>
          </w:p>
          <w:p>
            <w:pPr>
              <w:spacing w:line="0" w:lineRule="atLeast"/>
              <w:jc w:val="center"/>
              <w:rPr>
                <w:rFonts w:ascii="仿宋" w:hAnsi="仿宋" w:eastAsia="仿宋" w:cs="Arial"/>
                <w:sz w:val="24"/>
              </w:rPr>
            </w:pPr>
            <w:r>
              <w:rPr>
                <w:rFonts w:hint="eastAsia" w:ascii="仿宋" w:hAnsi="仿宋" w:eastAsia="仿宋" w:cs="Arial"/>
                <w:sz w:val="24"/>
              </w:rPr>
              <w:t>信息</w:t>
            </w:r>
          </w:p>
          <w:p>
            <w:pPr>
              <w:spacing w:line="0" w:lineRule="atLeast"/>
              <w:jc w:val="center"/>
              <w:rPr>
                <w:rFonts w:ascii="仿宋" w:hAnsi="仿宋" w:eastAsia="仿宋" w:cs="Arial"/>
                <w:sz w:val="24"/>
              </w:rPr>
            </w:pPr>
            <w:r>
              <w:rPr>
                <w:rFonts w:hint="eastAsia" w:ascii="仿宋" w:hAnsi="仿宋" w:eastAsia="仿宋" w:cs="Arial"/>
                <w:sz w:val="24"/>
              </w:rPr>
              <w:t>（20分）</w:t>
            </w: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绩效目标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在传统节日到来之际，为全县百姓送上一份文化大餐。</w:t>
            </w:r>
          </w:p>
        </w:tc>
        <w:tc>
          <w:tcPr>
            <w:tcW w:w="15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Arial"/>
                <w:sz w:val="24"/>
                <w:lang w:eastAsia="zh-CN"/>
              </w:rPr>
            </w:pPr>
            <w:r>
              <w:rPr>
                <w:rFonts w:hint="eastAsia" w:ascii="仿宋" w:hAnsi="仿宋" w:eastAsia="仿宋" w:cs="Arial"/>
                <w:sz w:val="24"/>
                <w:lang w:eastAsia="zh-CN"/>
              </w:rPr>
              <w:t>已完成</w:t>
            </w:r>
          </w:p>
        </w:tc>
        <w:tc>
          <w:tcPr>
            <w:tcW w:w="9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583" w:lineRule="exac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资金使用</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15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9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583" w:lineRule="exac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绩效监控</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ascii="仿宋" w:hAnsi="仿宋" w:eastAsia="仿宋" w:cs="Arial"/>
                <w:sz w:val="24"/>
              </w:rPr>
            </w:pPr>
            <w:r>
              <w:rPr>
                <w:rFonts w:hint="eastAsia" w:ascii="仿宋" w:hAnsi="仿宋" w:eastAsia="仿宋" w:cs="Arial"/>
                <w:sz w:val="24"/>
                <w:lang w:eastAsia="zh-CN"/>
              </w:rPr>
              <w:t>晚会现场座无虚席，观众掌声不断、好评如潮。</w:t>
            </w:r>
          </w:p>
        </w:tc>
        <w:tc>
          <w:tcPr>
            <w:tcW w:w="15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c>
          <w:tcPr>
            <w:tcW w:w="9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spacing w:line="0" w:lineRule="atLeast"/>
              <w:jc w:val="center"/>
              <w:rPr>
                <w:rFonts w:ascii="仿宋" w:hAnsi="仿宋" w:eastAsia="仿宋" w:cs="Arial"/>
                <w:sz w:val="24"/>
              </w:rPr>
            </w:pPr>
            <w:r>
              <w:rPr>
                <w:rFonts w:hint="eastAsia" w:ascii="仿宋" w:hAnsi="仿宋" w:eastAsia="仿宋" w:cs="Arial"/>
                <w:sz w:val="24"/>
              </w:rPr>
              <w:t>产出</w:t>
            </w:r>
          </w:p>
          <w:p>
            <w:pPr>
              <w:spacing w:line="0" w:lineRule="atLeast"/>
              <w:jc w:val="center"/>
              <w:rPr>
                <w:rFonts w:ascii="仿宋" w:hAnsi="仿宋" w:eastAsia="仿宋" w:cs="Arial"/>
                <w:sz w:val="24"/>
              </w:rPr>
            </w:pPr>
            <w:r>
              <w:rPr>
                <w:rFonts w:hint="eastAsia" w:ascii="仿宋" w:hAnsi="仿宋" w:eastAsia="仿宋" w:cs="Arial"/>
                <w:sz w:val="24"/>
              </w:rPr>
              <w:t>指标</w:t>
            </w:r>
          </w:p>
          <w:p>
            <w:pPr>
              <w:spacing w:line="0" w:lineRule="atLeast"/>
              <w:jc w:val="center"/>
              <w:rPr>
                <w:rFonts w:ascii="仿宋" w:hAnsi="仿宋" w:eastAsia="仿宋" w:cs="Arial"/>
                <w:sz w:val="24"/>
              </w:rPr>
            </w:pPr>
            <w:r>
              <w:rPr>
                <w:rFonts w:hint="eastAsia" w:ascii="仿宋" w:hAnsi="仿宋" w:eastAsia="仿宋" w:cs="Arial"/>
                <w:sz w:val="24"/>
              </w:rPr>
              <w:t>（30分）</w:t>
            </w: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数量指标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现场观众人数</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1000</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0" w:lineRule="atLeas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kern w:val="2"/>
                <w:sz w:val="24"/>
                <w:szCs w:val="24"/>
                <w:lang w:val="en-US" w:eastAsia="zh-CN" w:bidi="ar-SA"/>
              </w:rPr>
            </w:pPr>
            <w:r>
              <w:rPr>
                <w:rFonts w:hint="eastAsia" w:ascii="仿宋" w:hAnsi="仿宋" w:eastAsia="仿宋" w:cs="宋体"/>
                <w:bCs/>
                <w:kern w:val="0"/>
                <w:sz w:val="24"/>
              </w:rPr>
              <w:t>数量指标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晚会节目数量</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16</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0" w:lineRule="atLeas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kern w:val="2"/>
                <w:sz w:val="24"/>
                <w:szCs w:val="24"/>
                <w:lang w:val="en-US" w:eastAsia="zh-CN" w:bidi="ar-SA"/>
              </w:rPr>
            </w:pPr>
            <w:r>
              <w:rPr>
                <w:rFonts w:hint="eastAsia" w:ascii="仿宋" w:hAnsi="仿宋" w:eastAsia="仿宋" w:cs="宋体"/>
                <w:bCs/>
                <w:kern w:val="0"/>
                <w:sz w:val="24"/>
              </w:rPr>
              <w:t>数量指标</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仿宋" w:hAnsi="仿宋" w:eastAsia="仿宋" w:cs="Arial"/>
                <w:sz w:val="24"/>
                <w:lang w:eastAsia="zh-CN"/>
              </w:rPr>
            </w:pPr>
            <w:r>
              <w:rPr>
                <w:rFonts w:hint="eastAsia" w:ascii="仿宋" w:hAnsi="仿宋" w:eastAsia="仿宋" w:cs="Arial"/>
                <w:sz w:val="24"/>
                <w:lang w:eastAsia="zh-CN"/>
              </w:rPr>
              <w:t>晚会节目种类</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Align w:val="center"/>
          </w:tcPr>
          <w:p>
            <w:pPr>
              <w:spacing w:line="0" w:lineRule="atLeast"/>
              <w:jc w:val="center"/>
              <w:rPr>
                <w:rFonts w:ascii="仿宋" w:hAnsi="仿宋" w:eastAsia="仿宋" w:cs="Arial"/>
                <w:sz w:val="24"/>
              </w:rPr>
            </w:pPr>
            <w:r>
              <w:rPr>
                <w:rFonts w:hint="eastAsia" w:ascii="仿宋" w:hAnsi="仿宋" w:eastAsia="仿宋" w:cs="Arial"/>
                <w:sz w:val="24"/>
              </w:rPr>
              <w:t>效果</w:t>
            </w:r>
          </w:p>
          <w:p>
            <w:pPr>
              <w:spacing w:line="0" w:lineRule="atLeast"/>
              <w:jc w:val="center"/>
              <w:rPr>
                <w:rFonts w:ascii="仿宋" w:hAnsi="仿宋" w:eastAsia="仿宋" w:cs="Arial"/>
                <w:sz w:val="24"/>
              </w:rPr>
            </w:pPr>
            <w:r>
              <w:rPr>
                <w:rFonts w:hint="eastAsia" w:ascii="仿宋" w:hAnsi="仿宋" w:eastAsia="仿宋" w:cs="Arial"/>
                <w:sz w:val="24"/>
              </w:rPr>
              <w:t>指标</w:t>
            </w:r>
          </w:p>
          <w:p>
            <w:pPr>
              <w:spacing w:line="0" w:lineRule="atLeast"/>
              <w:jc w:val="center"/>
              <w:rPr>
                <w:rFonts w:ascii="仿宋" w:hAnsi="仿宋" w:eastAsia="仿宋" w:cs="Arial"/>
                <w:sz w:val="24"/>
              </w:rPr>
            </w:pPr>
            <w:r>
              <w:rPr>
                <w:rFonts w:hint="eastAsia" w:ascii="仿宋" w:hAnsi="仿宋" w:eastAsia="仿宋" w:cs="Arial"/>
                <w:sz w:val="24"/>
              </w:rPr>
              <w:t>（50分）</w:t>
            </w:r>
          </w:p>
        </w:tc>
        <w:tc>
          <w:tcPr>
            <w:tcW w:w="1948" w:type="dxa"/>
            <w:vAlign w:val="center"/>
          </w:tcPr>
          <w:p>
            <w:pPr>
              <w:spacing w:line="0" w:lineRule="atLeast"/>
              <w:jc w:val="center"/>
              <w:rPr>
                <w:rFonts w:ascii="仿宋" w:hAnsi="仿宋" w:eastAsia="仿宋" w:cs="宋体"/>
                <w:bCs/>
                <w:kern w:val="0"/>
                <w:sz w:val="24"/>
                <w:szCs w:val="24"/>
                <w:lang w:val="en-US" w:eastAsia="zh-CN" w:bidi="ar-SA"/>
              </w:rPr>
            </w:pPr>
            <w:r>
              <w:rPr>
                <w:rFonts w:hint="eastAsia" w:ascii="仿宋" w:hAnsi="仿宋" w:eastAsia="仿宋" w:cs="宋体"/>
                <w:bCs/>
                <w:kern w:val="0"/>
                <w:sz w:val="24"/>
              </w:rPr>
              <w:t>社会公众满意度</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Arial"/>
                <w:kern w:val="2"/>
                <w:sz w:val="24"/>
                <w:szCs w:val="24"/>
                <w:lang w:val="en-US" w:eastAsia="zh-CN" w:bidi="ar-SA"/>
              </w:rPr>
            </w:pPr>
            <w:r>
              <w:rPr>
                <w:rFonts w:hint="eastAsia" w:ascii="仿宋" w:hAnsi="仿宋" w:eastAsia="仿宋" w:cs="Arial"/>
                <w:sz w:val="24"/>
                <w:lang w:eastAsia="zh-CN"/>
              </w:rPr>
              <w:t>群众满意度</w:t>
            </w:r>
          </w:p>
        </w:tc>
        <w:tc>
          <w:tcPr>
            <w:tcW w:w="15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sz w:val="24"/>
                <w:lang w:val="en-US" w:eastAsia="zh-CN"/>
              </w:rPr>
              <w:t>100%</w:t>
            </w:r>
          </w:p>
        </w:tc>
        <w:tc>
          <w:tcPr>
            <w:tcW w:w="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Arial"/>
                <w:kern w:val="2"/>
                <w:sz w:val="24"/>
                <w:szCs w:val="24"/>
                <w:lang w:val="en-US" w:eastAsia="zh-CN" w:bidi="ar-SA"/>
              </w:rPr>
            </w:pPr>
            <w:r>
              <w:rPr>
                <w:rFonts w:hint="eastAsia" w:ascii="仿宋" w:hAnsi="仿宋" w:eastAsia="仿宋" w:cs="Arial"/>
                <w:sz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得分合计</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1584"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评价等级</w:t>
            </w:r>
          </w:p>
        </w:tc>
        <w:tc>
          <w:tcPr>
            <w:tcW w:w="5687" w:type="dxa"/>
            <w:gridSpan w:val="3"/>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sym w:font="Wingdings 2" w:char="0052"/>
            </w:r>
            <w:r>
              <w:rPr>
                <w:rFonts w:hint="eastAsia" w:ascii="仿宋" w:hAnsi="仿宋" w:eastAsia="仿宋" w:cs="宋体"/>
                <w:bCs/>
                <w:kern w:val="0"/>
                <w:sz w:val="24"/>
              </w:rPr>
              <w:t>优      □良      □可      □差</w:t>
            </w:r>
          </w:p>
        </w:tc>
      </w:tr>
    </w:tbl>
    <w:p>
      <w:pPr>
        <w:spacing w:line="0" w:lineRule="atLeast"/>
        <w:rPr>
          <w:rFonts w:ascii="仿宋" w:hAnsi="仿宋" w:eastAsia="仿宋"/>
          <w:b/>
          <w:sz w:val="18"/>
          <w:szCs w:val="18"/>
        </w:rPr>
      </w:pPr>
      <w:r>
        <w:rPr>
          <w:rFonts w:hint="eastAsia" w:ascii="仿宋" w:hAnsi="仿宋" w:eastAsia="仿宋"/>
          <w:b/>
          <w:sz w:val="18"/>
          <w:szCs w:val="18"/>
        </w:rPr>
        <w:t>备注：优：９０分以上，良：７０－９０分，可：６０－７０分，差：６０分以下</w:t>
      </w:r>
    </w:p>
    <w:p/>
    <w:p/>
    <w:p/>
    <w:p>
      <w:pPr>
        <w:widowControl/>
        <w:spacing w:line="0" w:lineRule="atLeast"/>
        <w:jc w:val="left"/>
        <w:rPr>
          <w:rFonts w:ascii="仿宋" w:hAnsi="仿宋" w:eastAsia="仿宋" w:cs="宋体"/>
          <w:kern w:val="0"/>
          <w:sz w:val="28"/>
          <w:szCs w:val="28"/>
        </w:rPr>
      </w:pPr>
      <w:r>
        <w:rPr>
          <w:rFonts w:hint="eastAsia" w:ascii="仿宋_GB2312" w:hAnsi="仿宋_GB2312" w:eastAsia="仿宋_GB2312" w:cs="仿宋_GB2312"/>
          <w:b w:val="0"/>
          <w:bCs w:val="0"/>
          <w:kern w:val="2"/>
          <w:sz w:val="32"/>
          <w:szCs w:val="32"/>
          <w:highlight w:val="none"/>
          <w:lang w:val="en-US" w:eastAsia="zh-CN" w:bidi="ar-SA"/>
        </w:rPr>
        <w:t>(3)党报党刊征订项目自评综述：根据年初设定的绩效目标，春节联欢晚会项目绩效自评得分为100分（绩效自评表附后）。全年预算数为</w:t>
      </w:r>
      <w:r>
        <w:rPr>
          <w:rFonts w:hint="eastAsia" w:ascii="仿宋" w:hAnsi="仿宋" w:eastAsia="仿宋" w:cs="宋体"/>
          <w:kern w:val="0"/>
          <w:sz w:val="28"/>
          <w:szCs w:val="28"/>
          <w:lang w:val="en-US" w:eastAsia="zh-CN"/>
        </w:rPr>
        <w:t>249.53</w:t>
      </w:r>
      <w:r>
        <w:rPr>
          <w:rFonts w:hint="eastAsia" w:ascii="仿宋_GB2312" w:hAnsi="仿宋_GB2312" w:eastAsia="仿宋_GB2312" w:cs="仿宋_GB2312"/>
          <w:b w:val="0"/>
          <w:bCs w:val="0"/>
          <w:kern w:val="2"/>
          <w:sz w:val="32"/>
          <w:szCs w:val="32"/>
          <w:highlight w:val="none"/>
          <w:lang w:val="en-US" w:eastAsia="zh-CN" w:bidi="ar-SA"/>
        </w:rPr>
        <w:t>万元，执行数为</w:t>
      </w:r>
      <w:r>
        <w:rPr>
          <w:rFonts w:hint="eastAsia" w:ascii="仿宋" w:hAnsi="仿宋" w:eastAsia="仿宋" w:cs="宋体"/>
          <w:kern w:val="0"/>
          <w:sz w:val="28"/>
          <w:szCs w:val="28"/>
          <w:lang w:val="en-US" w:eastAsia="zh-CN"/>
        </w:rPr>
        <w:t>249.53</w:t>
      </w:r>
      <w:r>
        <w:rPr>
          <w:rFonts w:hint="eastAsia" w:ascii="仿宋_GB2312" w:hAnsi="仿宋_GB2312" w:eastAsia="仿宋_GB2312" w:cs="仿宋_GB2312"/>
          <w:b w:val="0"/>
          <w:bCs w:val="0"/>
          <w:kern w:val="2"/>
          <w:sz w:val="32"/>
          <w:szCs w:val="32"/>
          <w:highlight w:val="none"/>
          <w:lang w:val="en-US" w:eastAsia="zh-CN" w:bidi="ar-SA"/>
        </w:rPr>
        <w:t>万元，完成预算的100%。项目绩效目标完成情况：一是：</w:t>
      </w:r>
      <w:r>
        <w:rPr>
          <w:rFonts w:hint="eastAsia" w:ascii="仿宋" w:hAnsi="仿宋" w:eastAsia="仿宋" w:cs="宋体"/>
          <w:kern w:val="0"/>
          <w:sz w:val="28"/>
          <w:szCs w:val="28"/>
          <w:lang w:val="en-US" w:eastAsia="zh-CN"/>
        </w:rPr>
        <w:t xml:space="preserve"> 2018年共完成党报党刊征订任务。二是：人民日报482份、河北日报1357份，衡水日报2648份，衡水晚报2733份，求是102份，经济日报119份，河北经济日报536份，光明日报161份，新华每日电讯307份，党建224份。</w:t>
      </w:r>
    </w:p>
    <w:p>
      <w:pPr>
        <w:widowControl/>
        <w:spacing w:line="0" w:lineRule="atLeast"/>
        <w:ind w:firstLine="668" w:firstLineChars="200"/>
        <w:jc w:val="left"/>
        <w:rPr>
          <w:rFonts w:hint="eastAsia" w:ascii="仿宋_GB2312" w:hAnsi="仿宋_GB2312" w:eastAsia="仿宋_GB2312" w:cs="仿宋_GB2312"/>
          <w:b w:val="0"/>
          <w:i w:val="0"/>
          <w:caps w:val="0"/>
          <w:color w:val="auto"/>
          <w:spacing w:val="7"/>
          <w:sz w:val="32"/>
          <w:szCs w:val="32"/>
          <w:shd w:val="clear" w:fill="FFFFFF"/>
        </w:rPr>
      </w:pPr>
    </w:p>
    <w:p>
      <w:pPr>
        <w:numPr>
          <w:ilvl w:val="0"/>
          <w:numId w:val="3"/>
        </w:numPr>
        <w:adjustRightInd w:val="0"/>
        <w:snapToGrid w:val="0"/>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val="0"/>
          <w:bCs w:val="0"/>
          <w:kern w:val="2"/>
          <w:sz w:val="32"/>
          <w:szCs w:val="32"/>
          <w:highlight w:val="none"/>
          <w:lang w:val="en-US" w:eastAsia="zh-CN" w:bidi="ar-SA"/>
        </w:rPr>
        <w:t>发现的主要问题及原因：无。下一步改进措施：</w:t>
      </w:r>
      <w:r>
        <w:rPr>
          <w:rFonts w:hint="eastAsia" w:ascii="仿宋_GB2312" w:hAnsi="仿宋_GB2312" w:eastAsia="仿宋_GB2312" w:cs="仿宋_GB2312"/>
          <w:sz w:val="32"/>
          <w:szCs w:val="32"/>
          <w:highlight w:val="none"/>
          <w:lang w:eastAsia="zh-CN"/>
        </w:rPr>
        <w:t>无。</w:t>
      </w:r>
    </w:p>
    <w:p/>
    <w:tbl>
      <w:tblPr>
        <w:tblStyle w:val="12"/>
        <w:tblpPr w:leftFromText="180" w:rightFromText="180" w:vertAnchor="text" w:horzAnchor="margin" w:tblpY="251"/>
        <w:tblW w:w="8946" w:type="dxa"/>
        <w:tblInd w:w="0" w:type="dxa"/>
        <w:tblLayout w:type="fixed"/>
        <w:tblCellMar>
          <w:top w:w="0" w:type="dxa"/>
          <w:left w:w="108" w:type="dxa"/>
          <w:bottom w:w="0" w:type="dxa"/>
          <w:right w:w="108" w:type="dxa"/>
        </w:tblCellMar>
      </w:tblPr>
      <w:tblGrid>
        <w:gridCol w:w="556"/>
        <w:gridCol w:w="2197"/>
        <w:gridCol w:w="2043"/>
        <w:gridCol w:w="1675"/>
        <w:gridCol w:w="442"/>
        <w:gridCol w:w="2033"/>
      </w:tblGrid>
      <w:tr>
        <w:tblPrEx>
          <w:tblCellMar>
            <w:top w:w="0" w:type="dxa"/>
            <w:left w:w="108" w:type="dxa"/>
            <w:bottom w:w="0" w:type="dxa"/>
            <w:right w:w="108" w:type="dxa"/>
          </w:tblCellMar>
        </w:tblPrEx>
        <w:trPr>
          <w:trHeight w:val="753" w:hRule="atLeast"/>
        </w:trPr>
        <w:tc>
          <w:tcPr>
            <w:tcW w:w="8946" w:type="dxa"/>
            <w:gridSpan w:val="6"/>
            <w:tcBorders>
              <w:top w:val="nil"/>
              <w:left w:val="nil"/>
              <w:bottom w:val="nil"/>
              <w:right w:val="nil"/>
            </w:tcBorders>
            <w:vAlign w:val="center"/>
          </w:tcPr>
          <w:p>
            <w:pPr>
              <w:widowControl/>
              <w:spacing w:line="360" w:lineRule="auto"/>
              <w:rPr>
                <w:rFonts w:ascii="仿宋" w:hAnsi="仿宋" w:eastAsia="仿宋" w:cs="宋体"/>
                <w:b/>
                <w:bCs/>
                <w:kern w:val="0"/>
                <w:sz w:val="32"/>
                <w:szCs w:val="32"/>
              </w:rPr>
            </w:pPr>
          </w:p>
          <w:p>
            <w:pPr>
              <w:widowControl/>
              <w:spacing w:line="360" w:lineRule="auto"/>
              <w:jc w:val="center"/>
              <w:rPr>
                <w:rFonts w:ascii="仿宋" w:hAnsi="仿宋" w:eastAsia="仿宋" w:cs="宋体"/>
                <w:b/>
                <w:bCs/>
                <w:kern w:val="0"/>
                <w:sz w:val="32"/>
                <w:szCs w:val="32"/>
              </w:rPr>
            </w:pPr>
            <w:r>
              <w:rPr>
                <w:rFonts w:hint="eastAsia" w:ascii="仿宋" w:hAnsi="仿宋" w:eastAsia="仿宋" w:cs="宋体"/>
                <w:b/>
                <w:bCs/>
                <w:kern w:val="0"/>
                <w:sz w:val="32"/>
                <w:szCs w:val="32"/>
              </w:rPr>
              <w:t>项目绩效情况表</w:t>
            </w:r>
          </w:p>
        </w:tc>
      </w:tr>
      <w:tr>
        <w:tblPrEx>
          <w:tblCellMar>
            <w:top w:w="0" w:type="dxa"/>
            <w:left w:w="108" w:type="dxa"/>
            <w:bottom w:w="0" w:type="dxa"/>
            <w:right w:w="108" w:type="dxa"/>
          </w:tblCellMar>
        </w:tblPrEx>
        <w:trPr>
          <w:trHeight w:val="314" w:hRule="atLeast"/>
        </w:trPr>
        <w:tc>
          <w:tcPr>
            <w:tcW w:w="6471" w:type="dxa"/>
            <w:gridSpan w:val="4"/>
            <w:tcBorders>
              <w:top w:val="nil"/>
              <w:left w:val="nil"/>
              <w:bottom w:val="single" w:color="auto" w:sz="4" w:space="0"/>
              <w:right w:val="nil"/>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475" w:type="dxa"/>
            <w:gridSpan w:val="2"/>
            <w:tcBorders>
              <w:top w:val="nil"/>
              <w:left w:val="nil"/>
              <w:bottom w:val="nil"/>
              <w:right w:val="nil"/>
            </w:tcBorders>
            <w:vAlign w:val="center"/>
          </w:tcPr>
          <w:p>
            <w:pPr>
              <w:widowControl/>
              <w:spacing w:line="360" w:lineRule="auto"/>
              <w:jc w:val="right"/>
              <w:rPr>
                <w:rFonts w:ascii="仿宋" w:hAnsi="仿宋" w:eastAsia="仿宋" w:cs="宋体"/>
                <w:kern w:val="0"/>
                <w:sz w:val="28"/>
                <w:szCs w:val="28"/>
              </w:rPr>
            </w:pPr>
            <w:r>
              <w:rPr>
                <w:rFonts w:hint="eastAsia" w:ascii="仿宋" w:hAnsi="仿宋" w:eastAsia="仿宋" w:cs="宋体"/>
                <w:kern w:val="0"/>
                <w:sz w:val="28"/>
                <w:szCs w:val="28"/>
              </w:rPr>
              <w:t>单位：（万元）</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项目名称</w:t>
            </w:r>
          </w:p>
        </w:tc>
        <w:tc>
          <w:tcPr>
            <w:tcW w:w="6193" w:type="dxa"/>
            <w:gridSpan w:val="4"/>
            <w:tcBorders>
              <w:top w:val="single" w:color="auto" w:sz="4" w:space="0"/>
              <w:left w:val="nil"/>
              <w:bottom w:val="single" w:color="auto" w:sz="4" w:space="0"/>
              <w:right w:val="single" w:color="auto" w:sz="4" w:space="0"/>
            </w:tcBorders>
            <w:vAlign w:val="center"/>
          </w:tcPr>
          <w:p>
            <w:pPr>
              <w:widowControl/>
              <w:spacing w:line="360" w:lineRule="auto"/>
              <w:jc w:val="both"/>
              <w:rPr>
                <w:rFonts w:ascii="仿宋" w:hAnsi="仿宋" w:eastAsia="仿宋" w:cs="宋体"/>
                <w:kern w:val="0"/>
                <w:sz w:val="28"/>
                <w:szCs w:val="28"/>
              </w:rPr>
            </w:pPr>
            <w:r>
              <w:rPr>
                <w:rFonts w:hint="eastAsia" w:ascii="仿宋" w:hAnsi="仿宋" w:eastAsia="仿宋" w:cs="宋体"/>
                <w:kern w:val="0"/>
                <w:sz w:val="28"/>
                <w:szCs w:val="28"/>
                <w:lang w:eastAsia="zh-CN"/>
              </w:rPr>
              <w:t>党报党刊征订项目</w:t>
            </w: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项目编码</w:t>
            </w:r>
          </w:p>
        </w:tc>
        <w:tc>
          <w:tcPr>
            <w:tcW w:w="2043" w:type="dxa"/>
            <w:tcBorders>
              <w:top w:val="nil"/>
              <w:left w:val="nil"/>
              <w:bottom w:val="single" w:color="auto" w:sz="4" w:space="0"/>
              <w:right w:val="nil"/>
            </w:tcBorders>
            <w:vAlign w:val="top"/>
          </w:tcPr>
          <w:p>
            <w:pPr>
              <w:keepNext w:val="0"/>
              <w:keepLines w:val="0"/>
              <w:widowControl/>
              <w:suppressLineNumbers w:val="0"/>
              <w:jc w:val="left"/>
              <w:textAlignment w:val="top"/>
              <w:rPr>
                <w:rFonts w:hint="eastAsia" w:ascii="宋体" w:hAnsi="宋体" w:eastAsia="宋体" w:cs="宋体"/>
                <w:i w:val="0"/>
                <w:color w:val="000000"/>
                <w:kern w:val="2"/>
                <w:sz w:val="18"/>
                <w:szCs w:val="18"/>
                <w:u w:val="none"/>
                <w:lang w:val="en-US" w:eastAsia="zh-CN" w:bidi="ar-SA"/>
              </w:rPr>
            </w:pPr>
            <w:r>
              <w:rPr>
                <w:rFonts w:hint="eastAsia" w:ascii="仿宋" w:hAnsi="仿宋" w:eastAsia="仿宋" w:cs="宋体"/>
                <w:kern w:val="0"/>
                <w:sz w:val="28"/>
                <w:szCs w:val="28"/>
                <w:lang w:val="en-US" w:eastAsia="zh-CN"/>
              </w:rPr>
              <w:t>2018009498</w:t>
            </w:r>
          </w:p>
        </w:tc>
        <w:tc>
          <w:tcPr>
            <w:tcW w:w="2117"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项目负责人</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hint="eastAsia" w:ascii="仿宋" w:hAnsi="仿宋" w:eastAsia="仿宋" w:cs="宋体"/>
                <w:kern w:val="0"/>
                <w:sz w:val="28"/>
                <w:szCs w:val="28"/>
                <w:lang w:eastAsia="zh-CN"/>
              </w:rPr>
            </w:pPr>
            <w:r>
              <w:rPr>
                <w:rFonts w:hint="eastAsia" w:ascii="仿宋" w:hAnsi="仿宋" w:eastAsia="仿宋" w:cs="宋体"/>
                <w:kern w:val="0"/>
                <w:sz w:val="28"/>
                <w:szCs w:val="28"/>
                <w:lang w:eastAsia="zh-CN"/>
              </w:rPr>
              <w:t>张丽娜</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项目单位</w:t>
            </w:r>
          </w:p>
        </w:tc>
        <w:tc>
          <w:tcPr>
            <w:tcW w:w="2043" w:type="dxa"/>
            <w:tcBorders>
              <w:top w:val="nil"/>
              <w:left w:val="nil"/>
              <w:bottom w:val="single" w:color="auto" w:sz="4" w:space="0"/>
              <w:right w:val="single" w:color="auto" w:sz="4" w:space="0"/>
            </w:tcBorders>
            <w:vAlign w:val="center"/>
          </w:tcPr>
          <w:p>
            <w:pPr>
              <w:widowControl/>
              <w:spacing w:line="360" w:lineRule="auto"/>
              <w:jc w:val="both"/>
              <w:rPr>
                <w:rFonts w:ascii="仿宋" w:hAnsi="仿宋" w:eastAsia="仿宋" w:cs="宋体"/>
                <w:kern w:val="0"/>
                <w:sz w:val="28"/>
                <w:szCs w:val="28"/>
              </w:rPr>
            </w:pPr>
            <w:r>
              <w:rPr>
                <w:rFonts w:hint="eastAsia" w:ascii="仿宋" w:hAnsi="仿宋" w:eastAsia="仿宋" w:cs="宋体"/>
                <w:kern w:val="0"/>
                <w:sz w:val="28"/>
                <w:szCs w:val="28"/>
                <w:lang w:eastAsia="zh-CN"/>
              </w:rPr>
              <w:t>宣传部</w:t>
            </w:r>
            <w:r>
              <w:rPr>
                <w:rFonts w:hint="eastAsia" w:ascii="仿宋" w:hAnsi="仿宋" w:eastAsia="仿宋" w:cs="宋体"/>
                <w:kern w:val="0"/>
                <w:sz w:val="28"/>
                <w:szCs w:val="28"/>
              </w:rPr>
              <w:t>　</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主管部门</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eastAsia="zh-CN"/>
              </w:rPr>
              <w:t>宣传部</w:t>
            </w: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项目预算资金</w:t>
            </w:r>
          </w:p>
        </w:tc>
        <w:tc>
          <w:tcPr>
            <w:tcW w:w="2043" w:type="dxa"/>
            <w:tcBorders>
              <w:top w:val="nil"/>
              <w:left w:val="nil"/>
              <w:bottom w:val="single" w:color="auto" w:sz="4" w:space="0"/>
              <w:right w:val="single" w:color="auto" w:sz="4" w:space="0"/>
            </w:tcBorders>
            <w:vAlign w:val="center"/>
          </w:tcPr>
          <w:p>
            <w:pPr>
              <w:widowControl/>
              <w:spacing w:line="360" w:lineRule="auto"/>
              <w:jc w:val="both"/>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249.53</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实际使用资金</w:t>
            </w:r>
          </w:p>
        </w:tc>
        <w:tc>
          <w:tcPr>
            <w:tcW w:w="2033" w:type="dxa"/>
            <w:tcBorders>
              <w:top w:val="nil"/>
              <w:left w:val="nil"/>
              <w:bottom w:val="single" w:color="auto" w:sz="4" w:space="0"/>
              <w:right w:val="single" w:color="auto" w:sz="4" w:space="0"/>
            </w:tcBorders>
            <w:vAlign w:val="bottom"/>
          </w:tcPr>
          <w:p>
            <w:pPr>
              <w:widowControl/>
              <w:spacing w:line="360" w:lineRule="auto"/>
              <w:jc w:val="left"/>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249.53</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项目计划实施时间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计划完成时间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4"/>
                <w:szCs w:val="24"/>
                <w:lang w:val="en-US" w:eastAsia="zh-CN"/>
              </w:rPr>
              <w:t>18</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项目实际实施时间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18</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实际完成时间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4"/>
                <w:szCs w:val="24"/>
                <w:lang w:val="en-US" w:eastAsia="zh-CN"/>
              </w:rPr>
              <w:t>18</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12</w:t>
            </w:r>
            <w:r>
              <w:rPr>
                <w:rFonts w:hint="eastAsia" w:ascii="仿宋" w:hAnsi="仿宋" w:eastAsia="仿宋" w:cs="宋体"/>
                <w:kern w:val="0"/>
                <w:sz w:val="24"/>
                <w:szCs w:val="24"/>
              </w:rPr>
              <w:t>月</w:t>
            </w:r>
            <w:r>
              <w:rPr>
                <w:rFonts w:hint="eastAsia" w:ascii="仿宋" w:hAnsi="仿宋" w:eastAsia="仿宋" w:cs="宋体"/>
                <w:kern w:val="0"/>
                <w:sz w:val="24"/>
                <w:szCs w:val="24"/>
                <w:lang w:val="en-US" w:eastAsia="zh-CN"/>
              </w:rPr>
              <w:t>20</w:t>
            </w:r>
            <w:r>
              <w:rPr>
                <w:rFonts w:hint="eastAsia" w:ascii="仿宋" w:hAnsi="仿宋" w:eastAsia="仿宋" w:cs="宋体"/>
                <w:kern w:val="0"/>
                <w:sz w:val="24"/>
                <w:szCs w:val="24"/>
              </w:rPr>
              <w:t>日</w:t>
            </w:r>
          </w:p>
        </w:tc>
      </w:tr>
      <w:tr>
        <w:tblPrEx>
          <w:tblCellMar>
            <w:top w:w="0" w:type="dxa"/>
            <w:left w:w="108" w:type="dxa"/>
            <w:bottom w:w="0" w:type="dxa"/>
            <w:right w:w="108" w:type="dxa"/>
          </w:tblCellMar>
        </w:tblPrEx>
        <w:trPr>
          <w:trHeight w:val="615" w:hRule="atLeast"/>
        </w:trPr>
        <w:tc>
          <w:tcPr>
            <w:tcW w:w="2753"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项目评价开始时间</w:t>
            </w:r>
          </w:p>
        </w:tc>
        <w:tc>
          <w:tcPr>
            <w:tcW w:w="2043" w:type="dxa"/>
            <w:tcBorders>
              <w:top w:val="nil"/>
              <w:left w:val="nil"/>
              <w:bottom w:val="single" w:color="auto" w:sz="4" w:space="0"/>
              <w:right w:val="single" w:color="auto" w:sz="4" w:space="0"/>
            </w:tcBorders>
            <w:vAlign w:val="center"/>
          </w:tcPr>
          <w:p>
            <w:pPr>
              <w:widowControl/>
              <w:spacing w:line="360" w:lineRule="auto"/>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日</w:t>
            </w:r>
          </w:p>
        </w:tc>
        <w:tc>
          <w:tcPr>
            <w:tcW w:w="2117" w:type="dxa"/>
            <w:gridSpan w:val="2"/>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评价结束时间</w:t>
            </w:r>
          </w:p>
        </w:tc>
        <w:tc>
          <w:tcPr>
            <w:tcW w:w="2033"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宋体"/>
                <w:kern w:val="0"/>
                <w:sz w:val="28"/>
                <w:szCs w:val="28"/>
              </w:rPr>
            </w:pPr>
            <w:r>
              <w:rPr>
                <w:rFonts w:hint="eastAsia" w:ascii="仿宋" w:hAnsi="仿宋" w:eastAsia="仿宋" w:cs="宋体"/>
                <w:kern w:val="0"/>
                <w:sz w:val="28"/>
                <w:szCs w:val="28"/>
                <w:lang w:val="en-US" w:eastAsia="zh-CN"/>
              </w:rPr>
              <w:t>19</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日</w:t>
            </w:r>
          </w:p>
        </w:tc>
      </w:tr>
      <w:tr>
        <w:tblPrEx>
          <w:tblCellMar>
            <w:top w:w="0" w:type="dxa"/>
            <w:left w:w="108" w:type="dxa"/>
            <w:bottom w:w="0" w:type="dxa"/>
            <w:right w:w="108" w:type="dxa"/>
          </w:tblCellMar>
        </w:tblPrEx>
        <w:trPr>
          <w:trHeight w:val="5453" w:hRule="atLeast"/>
        </w:trPr>
        <w:tc>
          <w:tcPr>
            <w:tcW w:w="556" w:type="dxa"/>
            <w:tcBorders>
              <w:top w:val="nil"/>
              <w:left w:val="single" w:color="auto" w:sz="4" w:space="0"/>
              <w:bottom w:val="single" w:color="auto" w:sz="4" w:space="0"/>
              <w:right w:val="single" w:color="auto" w:sz="4" w:space="0"/>
            </w:tcBorders>
            <w:vAlign w:val="center"/>
          </w:tcPr>
          <w:p>
            <w:pPr>
              <w:widowControl/>
              <w:spacing w:line="0" w:lineRule="atLeast"/>
              <w:jc w:val="center"/>
              <w:rPr>
                <w:rFonts w:ascii="仿宋" w:hAnsi="仿宋" w:eastAsia="仿宋" w:cs="宋体"/>
                <w:kern w:val="0"/>
                <w:sz w:val="28"/>
                <w:szCs w:val="28"/>
              </w:rPr>
            </w:pPr>
            <w:r>
              <w:rPr>
                <w:rFonts w:hint="eastAsia" w:ascii="仿宋" w:hAnsi="仿宋" w:eastAsia="仿宋" w:cs="宋体"/>
                <w:kern w:val="0"/>
                <w:sz w:val="28"/>
                <w:szCs w:val="28"/>
              </w:rPr>
              <w:t>绩效实现情况说明</w:t>
            </w:r>
          </w:p>
        </w:tc>
        <w:tc>
          <w:tcPr>
            <w:tcW w:w="8390" w:type="dxa"/>
            <w:gridSpan w:val="5"/>
            <w:tcBorders>
              <w:top w:val="single" w:color="auto" w:sz="4" w:space="0"/>
              <w:left w:val="nil"/>
              <w:bottom w:val="single" w:color="auto" w:sz="4" w:space="0"/>
              <w:right w:val="single" w:color="000000" w:sz="4" w:space="0"/>
            </w:tcBorders>
            <w:vAlign w:val="top"/>
          </w:tcPr>
          <w:p>
            <w:pPr>
              <w:widowControl/>
              <w:spacing w:line="0" w:lineRule="atLeast"/>
              <w:jc w:val="left"/>
              <w:rPr>
                <w:rFonts w:ascii="仿宋" w:hAnsi="仿宋" w:eastAsia="仿宋" w:cs="宋体"/>
                <w:kern w:val="0"/>
                <w:sz w:val="18"/>
                <w:szCs w:val="18"/>
              </w:rPr>
            </w:pPr>
          </w:p>
          <w:p>
            <w:pPr>
              <w:widowControl/>
              <w:spacing w:line="0" w:lineRule="atLeast"/>
              <w:jc w:val="left"/>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 xml:space="preserve">    2018年共完成党报党刊征订任务：人民日报482份、河北日报1357份，衡水日报2648份，衡水晚报2733份，求是102份，经济</w:t>
            </w:r>
          </w:p>
          <w:p>
            <w:pPr>
              <w:widowControl/>
              <w:spacing w:line="0" w:lineRule="atLeast"/>
              <w:jc w:val="left"/>
              <w:rPr>
                <w:rFonts w:ascii="仿宋" w:hAnsi="仿宋" w:eastAsia="仿宋" w:cs="宋体"/>
                <w:kern w:val="0"/>
                <w:sz w:val="28"/>
                <w:szCs w:val="28"/>
              </w:rPr>
            </w:pPr>
            <w:r>
              <w:rPr>
                <w:rFonts w:hint="eastAsia" w:ascii="仿宋" w:hAnsi="仿宋" w:eastAsia="仿宋" w:cs="宋体"/>
                <w:kern w:val="0"/>
                <w:sz w:val="28"/>
                <w:szCs w:val="28"/>
                <w:lang w:val="en-US" w:eastAsia="zh-CN"/>
              </w:rPr>
              <w:t>日报119份，河北经济日报536份，光明日报161份，新华每日电讯307份，党建224份。</w:t>
            </w:r>
          </w:p>
          <w:p>
            <w:pPr>
              <w:widowControl/>
              <w:spacing w:line="0" w:lineRule="atLeast"/>
              <w:jc w:val="left"/>
              <w:rPr>
                <w:rFonts w:ascii="仿宋" w:hAnsi="仿宋" w:eastAsia="仿宋" w:cs="宋体"/>
                <w:kern w:val="0"/>
                <w:sz w:val="28"/>
                <w:szCs w:val="28"/>
              </w:rPr>
            </w:pPr>
          </w:p>
        </w:tc>
      </w:tr>
    </w:tbl>
    <w:p/>
    <w:p>
      <w:pPr>
        <w:spacing w:line="0" w:lineRule="atLeast"/>
        <w:jc w:val="center"/>
        <w:rPr>
          <w:rFonts w:ascii="仿宋" w:hAnsi="仿宋" w:eastAsia="仿宋"/>
          <w:b/>
          <w:sz w:val="32"/>
          <w:szCs w:val="32"/>
        </w:rPr>
      </w:pPr>
      <w:r>
        <w:rPr>
          <w:rFonts w:hint="eastAsia" w:ascii="仿宋" w:hAnsi="仿宋" w:eastAsia="仿宋"/>
          <w:b/>
          <w:sz w:val="32"/>
          <w:szCs w:val="32"/>
        </w:rPr>
        <w:t>绩效评价得分表</w:t>
      </w:r>
    </w:p>
    <w:p>
      <w:pPr>
        <w:spacing w:line="0" w:lineRule="atLeast"/>
        <w:jc w:val="center"/>
        <w:rPr>
          <w:rFonts w:ascii="仿宋" w:hAnsi="仿宋" w:eastAsia="仿宋"/>
          <w:b/>
          <w:sz w:val="32"/>
          <w:szCs w:val="32"/>
        </w:rPr>
      </w:pPr>
    </w:p>
    <w:tbl>
      <w:tblPr>
        <w:tblStyle w:val="12"/>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948"/>
        <w:gridCol w:w="3131"/>
        <w:gridCol w:w="1584"/>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583" w:lineRule="exact"/>
              <w:ind w:firstLine="636"/>
              <w:jc w:val="center"/>
              <w:rPr>
                <w:rFonts w:ascii="仿宋" w:hAnsi="仿宋" w:eastAsia="仿宋" w:cs="Arial"/>
                <w:sz w:val="24"/>
              </w:rPr>
            </w:pPr>
            <w:r>
              <w:rPr>
                <w:rFonts w:hint="eastAsia" w:ascii="仿宋" w:hAnsi="仿宋" w:eastAsia="仿宋" w:cs="Arial"/>
                <w:sz w:val="24"/>
              </w:rPr>
              <w:t>项目名称</w:t>
            </w:r>
          </w:p>
        </w:tc>
        <w:tc>
          <w:tcPr>
            <w:tcW w:w="5687" w:type="dxa"/>
            <w:gridSpan w:val="3"/>
            <w:vAlign w:val="center"/>
          </w:tcPr>
          <w:p>
            <w:pPr>
              <w:spacing w:line="583" w:lineRule="exact"/>
              <w:jc w:val="both"/>
              <w:rPr>
                <w:rFonts w:ascii="仿宋" w:hAnsi="仿宋" w:eastAsia="仿宋" w:cs="Arial"/>
                <w:sz w:val="24"/>
              </w:rPr>
            </w:pPr>
            <w:r>
              <w:rPr>
                <w:rFonts w:hint="eastAsia" w:ascii="仿宋" w:hAnsi="仿宋" w:eastAsia="仿宋" w:cs="宋体"/>
                <w:kern w:val="0"/>
                <w:sz w:val="28"/>
                <w:szCs w:val="28"/>
                <w:lang w:eastAsia="zh-CN"/>
              </w:rPr>
              <w:t>党报党刊征订项目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Arial"/>
                <w:sz w:val="24"/>
              </w:rPr>
              <w:t>绩效指标说明</w:t>
            </w:r>
          </w:p>
        </w:tc>
        <w:tc>
          <w:tcPr>
            <w:tcW w:w="1584" w:type="dxa"/>
            <w:vAlign w:val="center"/>
          </w:tcPr>
          <w:p>
            <w:pPr>
              <w:spacing w:line="0" w:lineRule="atLeast"/>
              <w:jc w:val="center"/>
              <w:rPr>
                <w:rFonts w:ascii="仿宋" w:hAnsi="仿宋" w:eastAsia="仿宋" w:cs="Arial"/>
                <w:sz w:val="24"/>
              </w:rPr>
            </w:pPr>
            <w:r>
              <w:rPr>
                <w:rFonts w:hint="eastAsia" w:ascii="仿宋" w:hAnsi="仿宋" w:eastAsia="仿宋" w:cs="Arial"/>
                <w:sz w:val="24"/>
              </w:rPr>
              <w:t>完成情况</w:t>
            </w:r>
          </w:p>
        </w:tc>
        <w:tc>
          <w:tcPr>
            <w:tcW w:w="972" w:type="dxa"/>
            <w:vAlign w:val="center"/>
          </w:tcPr>
          <w:p>
            <w:pPr>
              <w:spacing w:line="0" w:lineRule="atLeast"/>
              <w:jc w:val="center"/>
              <w:rPr>
                <w:rFonts w:ascii="仿宋" w:hAnsi="仿宋" w:eastAsia="仿宋" w:cs="Arial"/>
                <w:sz w:val="24"/>
              </w:rPr>
            </w:pPr>
            <w:r>
              <w:rPr>
                <w:rFonts w:hint="eastAsia" w:ascii="仿宋" w:hAnsi="仿宋" w:eastAsia="仿宋" w:cs="Arial"/>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spacing w:line="0" w:lineRule="atLeast"/>
              <w:jc w:val="center"/>
              <w:rPr>
                <w:rFonts w:ascii="仿宋" w:hAnsi="仿宋" w:eastAsia="仿宋" w:cs="Arial"/>
                <w:sz w:val="24"/>
              </w:rPr>
            </w:pPr>
            <w:r>
              <w:rPr>
                <w:rFonts w:hint="eastAsia" w:ascii="仿宋" w:hAnsi="仿宋" w:eastAsia="仿宋" w:cs="Arial"/>
                <w:sz w:val="24"/>
              </w:rPr>
              <w:t>绩效</w:t>
            </w:r>
          </w:p>
          <w:p>
            <w:pPr>
              <w:spacing w:line="0" w:lineRule="atLeast"/>
              <w:jc w:val="center"/>
              <w:rPr>
                <w:rFonts w:ascii="仿宋" w:hAnsi="仿宋" w:eastAsia="仿宋" w:cs="Arial"/>
                <w:sz w:val="24"/>
              </w:rPr>
            </w:pPr>
            <w:r>
              <w:rPr>
                <w:rFonts w:hint="eastAsia" w:ascii="仿宋" w:hAnsi="仿宋" w:eastAsia="仿宋" w:cs="Arial"/>
                <w:sz w:val="24"/>
              </w:rPr>
              <w:t>信息</w:t>
            </w:r>
          </w:p>
          <w:p>
            <w:pPr>
              <w:spacing w:line="0" w:lineRule="atLeast"/>
              <w:jc w:val="center"/>
              <w:rPr>
                <w:rFonts w:ascii="仿宋" w:hAnsi="仿宋" w:eastAsia="仿宋" w:cs="Arial"/>
                <w:sz w:val="24"/>
              </w:rPr>
            </w:pPr>
            <w:r>
              <w:rPr>
                <w:rFonts w:hint="eastAsia" w:ascii="仿宋" w:hAnsi="仿宋" w:eastAsia="仿宋" w:cs="Arial"/>
                <w:sz w:val="24"/>
              </w:rPr>
              <w:t>（20分）</w:t>
            </w: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绩效目标</w:t>
            </w:r>
          </w:p>
        </w:tc>
        <w:tc>
          <w:tcPr>
            <w:tcW w:w="3131" w:type="dxa"/>
            <w:vAlign w:val="center"/>
          </w:tcPr>
          <w:p>
            <w:pPr>
              <w:spacing w:line="583" w:lineRule="exact"/>
              <w:jc w:val="both"/>
              <w:rPr>
                <w:rFonts w:hint="eastAsia" w:ascii="仿宋" w:hAnsi="仿宋" w:eastAsia="仿宋" w:cs="Arial"/>
                <w:sz w:val="24"/>
                <w:lang w:eastAsia="zh-CN"/>
              </w:rPr>
            </w:pPr>
            <w:r>
              <w:rPr>
                <w:rFonts w:hint="eastAsia" w:ascii="仿宋" w:hAnsi="仿宋" w:eastAsia="仿宋" w:cs="Arial"/>
                <w:sz w:val="24"/>
                <w:lang w:eastAsia="zh-CN"/>
              </w:rPr>
              <w:t>按时按量完成征订任务。</w:t>
            </w:r>
          </w:p>
        </w:tc>
        <w:tc>
          <w:tcPr>
            <w:tcW w:w="1584" w:type="dxa"/>
            <w:vMerge w:val="restart"/>
            <w:vAlign w:val="center"/>
          </w:tcPr>
          <w:p>
            <w:pPr>
              <w:spacing w:line="583" w:lineRule="exact"/>
              <w:jc w:val="both"/>
              <w:rPr>
                <w:rFonts w:hint="eastAsia" w:ascii="仿宋" w:hAnsi="仿宋" w:eastAsia="仿宋" w:cs="Arial"/>
                <w:sz w:val="24"/>
                <w:lang w:eastAsia="zh-CN"/>
              </w:rPr>
            </w:pPr>
            <w:r>
              <w:rPr>
                <w:rFonts w:hint="eastAsia" w:ascii="仿宋" w:hAnsi="仿宋" w:eastAsia="仿宋" w:cs="Arial"/>
                <w:sz w:val="24"/>
                <w:lang w:eastAsia="zh-CN"/>
              </w:rPr>
              <w:t>已完成</w:t>
            </w:r>
          </w:p>
        </w:tc>
        <w:tc>
          <w:tcPr>
            <w:tcW w:w="972" w:type="dxa"/>
            <w:vMerge w:val="restart"/>
            <w:vAlign w:val="center"/>
          </w:tcPr>
          <w:p>
            <w:pPr>
              <w:spacing w:line="583" w:lineRule="exact"/>
              <w:jc w:val="both"/>
              <w:rPr>
                <w:rFonts w:hint="default" w:ascii="仿宋" w:hAnsi="仿宋" w:eastAsia="仿宋" w:cs="Arial"/>
                <w:sz w:val="24"/>
                <w:lang w:val="en-US" w:eastAsia="zh-CN"/>
              </w:rPr>
            </w:pPr>
            <w:r>
              <w:rPr>
                <w:rFonts w:hint="eastAsia" w:ascii="仿宋" w:hAnsi="仿宋" w:eastAsia="仿宋" w:cs="Arial"/>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583" w:lineRule="exac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资金使用</w:t>
            </w:r>
          </w:p>
        </w:tc>
        <w:tc>
          <w:tcPr>
            <w:tcW w:w="3131" w:type="dxa"/>
            <w:vAlign w:val="center"/>
          </w:tcPr>
          <w:p>
            <w:pPr>
              <w:spacing w:line="583" w:lineRule="exac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1584" w:type="dxa"/>
            <w:vMerge w:val="continue"/>
            <w:vAlign w:val="center"/>
          </w:tcPr>
          <w:p>
            <w:pPr>
              <w:spacing w:line="583" w:lineRule="exact"/>
              <w:ind w:firstLine="636"/>
              <w:jc w:val="center"/>
              <w:rPr>
                <w:rFonts w:ascii="仿宋" w:hAnsi="仿宋" w:eastAsia="仿宋" w:cs="Arial"/>
                <w:sz w:val="24"/>
              </w:rPr>
            </w:pPr>
          </w:p>
        </w:tc>
        <w:tc>
          <w:tcPr>
            <w:tcW w:w="972" w:type="dxa"/>
            <w:vMerge w:val="continue"/>
            <w:vAlign w:val="center"/>
          </w:tcPr>
          <w:p>
            <w:pPr>
              <w:spacing w:line="583" w:lineRule="exact"/>
              <w:ind w:firstLine="636"/>
              <w:jc w:val="center"/>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583" w:lineRule="exac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绩效监控</w:t>
            </w:r>
          </w:p>
        </w:tc>
        <w:tc>
          <w:tcPr>
            <w:tcW w:w="31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Arial"/>
                <w:sz w:val="24"/>
                <w:lang w:val="en-US" w:eastAsia="zh-CN"/>
              </w:rPr>
            </w:pPr>
            <w:r>
              <w:rPr>
                <w:rFonts w:hint="eastAsia" w:ascii="仿宋" w:hAnsi="仿宋" w:eastAsia="仿宋" w:cs="Arial"/>
                <w:sz w:val="24"/>
                <w:lang w:val="en-US" w:eastAsia="zh-CN"/>
              </w:rPr>
              <w:t>18年底完成19年党报党刊征订分配任务。</w:t>
            </w:r>
          </w:p>
        </w:tc>
        <w:tc>
          <w:tcPr>
            <w:tcW w:w="1584" w:type="dxa"/>
            <w:vMerge w:val="continue"/>
            <w:vAlign w:val="center"/>
          </w:tcPr>
          <w:p>
            <w:pPr>
              <w:spacing w:line="583" w:lineRule="exact"/>
              <w:ind w:firstLine="636"/>
              <w:jc w:val="center"/>
              <w:rPr>
                <w:rFonts w:ascii="仿宋" w:hAnsi="仿宋" w:eastAsia="仿宋" w:cs="Arial"/>
                <w:sz w:val="24"/>
              </w:rPr>
            </w:pPr>
          </w:p>
        </w:tc>
        <w:tc>
          <w:tcPr>
            <w:tcW w:w="972" w:type="dxa"/>
            <w:vMerge w:val="continue"/>
            <w:vAlign w:val="center"/>
          </w:tcPr>
          <w:p>
            <w:pPr>
              <w:spacing w:line="583" w:lineRule="exact"/>
              <w:ind w:firstLine="636"/>
              <w:jc w:val="center"/>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spacing w:line="0" w:lineRule="atLeast"/>
              <w:jc w:val="center"/>
              <w:rPr>
                <w:rFonts w:ascii="仿宋" w:hAnsi="仿宋" w:eastAsia="仿宋" w:cs="Arial"/>
                <w:sz w:val="24"/>
              </w:rPr>
            </w:pPr>
            <w:r>
              <w:rPr>
                <w:rFonts w:hint="eastAsia" w:ascii="仿宋" w:hAnsi="仿宋" w:eastAsia="仿宋" w:cs="Arial"/>
                <w:sz w:val="24"/>
              </w:rPr>
              <w:t>产出</w:t>
            </w:r>
          </w:p>
          <w:p>
            <w:pPr>
              <w:spacing w:line="0" w:lineRule="atLeast"/>
              <w:jc w:val="center"/>
              <w:rPr>
                <w:rFonts w:ascii="仿宋" w:hAnsi="仿宋" w:eastAsia="仿宋" w:cs="Arial"/>
                <w:sz w:val="24"/>
              </w:rPr>
            </w:pPr>
            <w:r>
              <w:rPr>
                <w:rFonts w:hint="eastAsia" w:ascii="仿宋" w:hAnsi="仿宋" w:eastAsia="仿宋" w:cs="Arial"/>
                <w:sz w:val="24"/>
              </w:rPr>
              <w:t>指标</w:t>
            </w:r>
          </w:p>
          <w:p>
            <w:pPr>
              <w:spacing w:line="0" w:lineRule="atLeast"/>
              <w:jc w:val="center"/>
              <w:rPr>
                <w:rFonts w:ascii="仿宋" w:hAnsi="仿宋" w:eastAsia="仿宋" w:cs="Arial"/>
                <w:sz w:val="24"/>
              </w:rPr>
            </w:pPr>
            <w:r>
              <w:rPr>
                <w:rFonts w:hint="eastAsia" w:ascii="仿宋" w:hAnsi="仿宋" w:eastAsia="仿宋" w:cs="Arial"/>
                <w:sz w:val="24"/>
              </w:rPr>
              <w:t>（30分）</w:t>
            </w: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数量指标</w:t>
            </w:r>
          </w:p>
        </w:tc>
        <w:tc>
          <w:tcPr>
            <w:tcW w:w="3131" w:type="dxa"/>
            <w:vAlign w:val="center"/>
          </w:tcPr>
          <w:p>
            <w:pPr>
              <w:spacing w:line="0" w:lineRule="atLeast"/>
              <w:jc w:val="both"/>
              <w:rPr>
                <w:rFonts w:hint="eastAsia" w:ascii="仿宋" w:hAnsi="仿宋" w:eastAsia="仿宋" w:cs="Arial"/>
                <w:sz w:val="24"/>
                <w:lang w:eastAsia="zh-CN"/>
              </w:rPr>
            </w:pPr>
            <w:r>
              <w:rPr>
                <w:rFonts w:hint="eastAsia" w:ascii="仿宋" w:hAnsi="仿宋" w:eastAsia="仿宋" w:cs="Arial"/>
                <w:sz w:val="24"/>
                <w:lang w:eastAsia="zh-CN"/>
              </w:rPr>
              <w:t>按时完成率</w:t>
            </w:r>
          </w:p>
        </w:tc>
        <w:tc>
          <w:tcPr>
            <w:tcW w:w="1584"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pPr>
              <w:spacing w:line="0" w:lineRule="atLeast"/>
              <w:jc w:val="center"/>
              <w:rPr>
                <w:rFonts w:ascii="仿宋" w:hAnsi="仿宋" w:eastAsia="仿宋" w:cs="Arial"/>
                <w:sz w:val="24"/>
              </w:rPr>
            </w:pP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质量指标</w:t>
            </w:r>
          </w:p>
        </w:tc>
        <w:tc>
          <w:tcPr>
            <w:tcW w:w="3131" w:type="dxa"/>
            <w:vAlign w:val="center"/>
          </w:tcPr>
          <w:p>
            <w:pPr>
              <w:spacing w:line="0" w:lineRule="atLeast"/>
              <w:jc w:val="both"/>
              <w:rPr>
                <w:rFonts w:hint="eastAsia" w:ascii="仿宋" w:hAnsi="仿宋" w:eastAsia="仿宋" w:cs="Arial"/>
                <w:sz w:val="24"/>
                <w:lang w:eastAsia="zh-CN"/>
              </w:rPr>
            </w:pPr>
            <w:r>
              <w:rPr>
                <w:rFonts w:hint="eastAsia" w:ascii="仿宋" w:hAnsi="仿宋" w:eastAsia="仿宋" w:cs="Arial"/>
                <w:sz w:val="24"/>
                <w:lang w:eastAsia="zh-CN"/>
              </w:rPr>
              <w:t>按时发放（分配）率</w:t>
            </w:r>
          </w:p>
        </w:tc>
        <w:tc>
          <w:tcPr>
            <w:tcW w:w="1584"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Align w:val="center"/>
          </w:tcPr>
          <w:p>
            <w:pPr>
              <w:spacing w:line="0" w:lineRule="atLeast"/>
              <w:jc w:val="center"/>
              <w:rPr>
                <w:rFonts w:ascii="仿宋" w:hAnsi="仿宋" w:eastAsia="仿宋" w:cs="Arial"/>
                <w:sz w:val="24"/>
              </w:rPr>
            </w:pPr>
            <w:r>
              <w:rPr>
                <w:rFonts w:hint="eastAsia" w:ascii="仿宋" w:hAnsi="仿宋" w:eastAsia="仿宋" w:cs="Arial"/>
                <w:sz w:val="24"/>
              </w:rPr>
              <w:t>效果</w:t>
            </w:r>
          </w:p>
          <w:p>
            <w:pPr>
              <w:spacing w:line="0" w:lineRule="atLeast"/>
              <w:jc w:val="center"/>
              <w:rPr>
                <w:rFonts w:ascii="仿宋" w:hAnsi="仿宋" w:eastAsia="仿宋" w:cs="Arial"/>
                <w:sz w:val="24"/>
              </w:rPr>
            </w:pPr>
            <w:r>
              <w:rPr>
                <w:rFonts w:hint="eastAsia" w:ascii="仿宋" w:hAnsi="仿宋" w:eastAsia="仿宋" w:cs="Arial"/>
                <w:sz w:val="24"/>
              </w:rPr>
              <w:t>指标</w:t>
            </w:r>
          </w:p>
          <w:p>
            <w:pPr>
              <w:spacing w:line="0" w:lineRule="atLeast"/>
              <w:jc w:val="center"/>
              <w:rPr>
                <w:rFonts w:ascii="仿宋" w:hAnsi="仿宋" w:eastAsia="仿宋" w:cs="Arial"/>
                <w:sz w:val="24"/>
              </w:rPr>
            </w:pPr>
            <w:r>
              <w:rPr>
                <w:rFonts w:hint="eastAsia" w:ascii="仿宋" w:hAnsi="仿宋" w:eastAsia="仿宋" w:cs="Arial"/>
                <w:sz w:val="24"/>
              </w:rPr>
              <w:t>（50分）</w:t>
            </w:r>
          </w:p>
        </w:tc>
        <w:tc>
          <w:tcPr>
            <w:tcW w:w="1948" w:type="dxa"/>
            <w:vAlign w:val="center"/>
          </w:tcPr>
          <w:p>
            <w:pPr>
              <w:spacing w:line="0" w:lineRule="atLeast"/>
              <w:jc w:val="center"/>
              <w:rPr>
                <w:rFonts w:ascii="仿宋" w:hAnsi="仿宋" w:eastAsia="仿宋" w:cs="Arial"/>
                <w:sz w:val="24"/>
              </w:rPr>
            </w:pPr>
            <w:r>
              <w:rPr>
                <w:rFonts w:hint="eastAsia" w:ascii="仿宋" w:hAnsi="仿宋" w:eastAsia="仿宋" w:cs="宋体"/>
                <w:bCs/>
                <w:kern w:val="0"/>
                <w:sz w:val="24"/>
              </w:rPr>
              <w:t>社会公众满意度</w:t>
            </w:r>
          </w:p>
        </w:tc>
        <w:tc>
          <w:tcPr>
            <w:tcW w:w="3131"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满意率</w:t>
            </w:r>
          </w:p>
        </w:tc>
        <w:tc>
          <w:tcPr>
            <w:tcW w:w="1584"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得分合计</w:t>
            </w:r>
          </w:p>
        </w:tc>
        <w:tc>
          <w:tcPr>
            <w:tcW w:w="3131"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1584" w:type="dxa"/>
            <w:vAlign w:val="center"/>
          </w:tcPr>
          <w:p>
            <w:pPr>
              <w:spacing w:line="0" w:lineRule="atLeast"/>
              <w:ind w:firstLine="636"/>
              <w:jc w:val="center"/>
              <w:rPr>
                <w:rFonts w:ascii="仿宋" w:hAnsi="仿宋" w:eastAsia="仿宋" w:cs="Arial"/>
                <w:sz w:val="24"/>
              </w:rPr>
            </w:pPr>
            <w:r>
              <w:rPr>
                <w:rFonts w:hint="eastAsia" w:ascii="仿宋" w:hAnsi="仿宋" w:eastAsia="仿宋" w:cs="宋体"/>
                <w:kern w:val="0"/>
                <w:sz w:val="24"/>
              </w:rPr>
              <w:t>——</w:t>
            </w:r>
          </w:p>
        </w:tc>
        <w:tc>
          <w:tcPr>
            <w:tcW w:w="972" w:type="dxa"/>
            <w:vAlign w:val="center"/>
          </w:tcPr>
          <w:p>
            <w:pPr>
              <w:spacing w:line="0" w:lineRule="atLeast"/>
              <w:jc w:val="both"/>
              <w:rPr>
                <w:rFonts w:hint="default" w:ascii="仿宋" w:hAnsi="仿宋" w:eastAsia="仿宋" w:cs="Arial"/>
                <w:sz w:val="24"/>
                <w:lang w:val="en-US" w:eastAsia="zh-CN"/>
              </w:rPr>
            </w:pPr>
            <w:r>
              <w:rPr>
                <w:rFonts w:hint="eastAsia" w:ascii="仿宋" w:hAnsi="仿宋" w:eastAsia="仿宋" w:cs="Arial"/>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36" w:type="dxa"/>
            <w:gridSpan w:val="2"/>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t>评价等级</w:t>
            </w:r>
          </w:p>
        </w:tc>
        <w:tc>
          <w:tcPr>
            <w:tcW w:w="5687" w:type="dxa"/>
            <w:gridSpan w:val="3"/>
            <w:vAlign w:val="center"/>
          </w:tcPr>
          <w:p>
            <w:pPr>
              <w:spacing w:line="0" w:lineRule="atLeast"/>
              <w:ind w:firstLine="636"/>
              <w:jc w:val="center"/>
              <w:rPr>
                <w:rFonts w:ascii="仿宋" w:hAnsi="仿宋" w:eastAsia="仿宋" w:cs="Arial"/>
                <w:sz w:val="24"/>
              </w:rPr>
            </w:pPr>
            <w:r>
              <w:rPr>
                <w:rFonts w:hint="eastAsia" w:ascii="仿宋" w:hAnsi="仿宋" w:eastAsia="仿宋" w:cs="宋体"/>
                <w:bCs/>
                <w:kern w:val="0"/>
                <w:sz w:val="24"/>
              </w:rPr>
              <w:sym w:font="Wingdings 2" w:char="0052"/>
            </w:r>
            <w:r>
              <w:rPr>
                <w:rFonts w:hint="eastAsia" w:ascii="仿宋" w:hAnsi="仿宋" w:eastAsia="仿宋" w:cs="宋体"/>
                <w:bCs/>
                <w:kern w:val="0"/>
                <w:sz w:val="24"/>
              </w:rPr>
              <w:t>优      □良      □可      □差</w:t>
            </w:r>
          </w:p>
        </w:tc>
      </w:tr>
    </w:tbl>
    <w:p>
      <w:pPr>
        <w:spacing w:line="0" w:lineRule="atLeast"/>
        <w:rPr>
          <w:rFonts w:ascii="仿宋" w:hAnsi="仿宋" w:eastAsia="仿宋"/>
          <w:b/>
          <w:sz w:val="18"/>
          <w:szCs w:val="18"/>
        </w:rPr>
      </w:pPr>
      <w:r>
        <w:rPr>
          <w:rFonts w:hint="eastAsia" w:ascii="仿宋" w:hAnsi="仿宋" w:eastAsia="仿宋"/>
          <w:b/>
          <w:sz w:val="18"/>
          <w:szCs w:val="18"/>
        </w:rPr>
        <w:t>备注：优：９０分以上，良：７０－９０分，可：６０－７０分，差：６０分以下</w:t>
      </w:r>
    </w:p>
    <w:p>
      <w:pPr>
        <w:adjustRightInd w:val="0"/>
        <w:snapToGrid w:val="0"/>
        <w:spacing w:after="0" w:line="580" w:lineRule="exact"/>
        <w:ind w:left="1602" w:leftChars="304" w:hanging="964" w:hangingChars="300"/>
        <w:jc w:val="left"/>
        <w:rPr>
          <w:rFonts w:ascii="仿宋_GB2312" w:eastAsia="仿宋_GB2312" w:cs="DengXian-Regular"/>
          <w:b/>
          <w:bCs/>
          <w:sz w:val="32"/>
          <w:szCs w:val="32"/>
        </w:rPr>
      </w:pPr>
      <w:r>
        <w:rPr>
          <w:rFonts w:hint="eastAsia" w:ascii="仿宋_GB2312" w:eastAsia="仿宋_GB2312" w:cs="DengXian-Regular"/>
          <w:b/>
          <w:bCs/>
          <w:sz w:val="32"/>
          <w:szCs w:val="32"/>
        </w:rPr>
        <w:t>（三）重点项目绩效评价结果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本部门2018年度无重点项目。</w:t>
      </w: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七、其他重要事项的说明</w:t>
      </w:r>
    </w:p>
    <w:p>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（一）机关运行经费情况</w:t>
      </w:r>
    </w:p>
    <w:p>
      <w:pPr>
        <w:adjustRightInd w:val="0"/>
        <w:snapToGrid w:val="0"/>
        <w:spacing w:after="0"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highlight w:val="none"/>
        </w:rPr>
        <w:t>本部门</w:t>
      </w:r>
      <w:r>
        <w:rPr>
          <w:rFonts w:hint="eastAsia" w:ascii="仿宋_GB2312" w:hAnsi="Times New Roman" w:eastAsia="仿宋_GB2312" w:cs="DengXian-Regular"/>
          <w:sz w:val="32"/>
          <w:szCs w:val="32"/>
          <w:highlight w:val="none"/>
          <w:lang w:eastAsia="zh-CN"/>
        </w:rPr>
        <w:t>201</w:t>
      </w:r>
      <w:r>
        <w:rPr>
          <w:rFonts w:hint="eastAsia" w:ascii="仿宋_GB2312" w:hAnsi="Times New Roman" w:eastAsia="仿宋_GB2312" w:cs="DengXian-Regular"/>
          <w:sz w:val="32"/>
          <w:szCs w:val="32"/>
          <w:highlight w:val="none"/>
          <w:lang w:val="en-US" w:eastAsia="zh-CN"/>
        </w:rPr>
        <w:t>8</w:t>
      </w:r>
      <w:r>
        <w:rPr>
          <w:rFonts w:hint="eastAsia" w:ascii="仿宋_GB2312" w:hAnsi="Times New Roman" w:eastAsia="仿宋_GB2312" w:cs="DengXian-Regular"/>
          <w:sz w:val="32"/>
          <w:szCs w:val="32"/>
          <w:highlight w:val="none"/>
          <w:lang w:eastAsia="zh-CN"/>
        </w:rPr>
        <w:t>年</w:t>
      </w:r>
      <w:r>
        <w:rPr>
          <w:rFonts w:hint="eastAsia" w:ascii="仿宋_GB2312" w:hAnsi="Times New Roman" w:eastAsia="仿宋_GB2312" w:cs="DengXian-Regular"/>
          <w:sz w:val="32"/>
          <w:szCs w:val="32"/>
          <w:highlight w:val="none"/>
        </w:rPr>
        <w:t>度机关运行经费支出</w:t>
      </w:r>
      <w:r>
        <w:rPr>
          <w:rFonts w:hint="eastAsia" w:ascii="仿宋_GB2312" w:hAnsi="Times New Roman" w:eastAsia="仿宋_GB2312" w:cs="DengXian-Regular"/>
          <w:sz w:val="32"/>
          <w:szCs w:val="32"/>
          <w:highlight w:val="none"/>
          <w:lang w:val="en-US" w:eastAsia="zh-CN"/>
        </w:rPr>
        <w:t>78.25</w:t>
      </w:r>
      <w:r>
        <w:rPr>
          <w:rFonts w:hint="eastAsia" w:ascii="仿宋_GB2312" w:hAnsi="Times New Roman" w:eastAsia="仿宋_GB2312" w:cs="DengXian-Regular"/>
          <w:sz w:val="32"/>
          <w:szCs w:val="32"/>
          <w:highlight w:val="none"/>
        </w:rPr>
        <w:t>万元，</w:t>
      </w:r>
      <w:r>
        <w:rPr>
          <w:rFonts w:hint="eastAsia" w:ascii="仿宋_GB2312" w:hAnsi="Times New Roman" w:eastAsia="仿宋_GB2312" w:cs="DengXian-Regular"/>
          <w:sz w:val="32"/>
          <w:szCs w:val="32"/>
          <w:highlight w:val="none"/>
          <w:lang w:eastAsia="zh-CN"/>
        </w:rPr>
        <w:t>比年初预算数增加</w:t>
      </w:r>
      <w:r>
        <w:rPr>
          <w:rFonts w:hint="eastAsia" w:ascii="仿宋_GB2312" w:hAnsi="Times New Roman" w:eastAsia="仿宋_GB2312" w:cs="DengXian-Regular"/>
          <w:sz w:val="32"/>
          <w:szCs w:val="32"/>
          <w:highlight w:val="none"/>
          <w:lang w:val="en-US" w:eastAsia="zh-CN"/>
        </w:rPr>
        <w:t>32.98万元</w:t>
      </w:r>
      <w:r>
        <w:rPr>
          <w:rFonts w:hint="eastAsia" w:ascii="仿宋_GB2312" w:hAnsi="Times New Roman" w:eastAsia="仿宋_GB2312" w:cs="DengXian-Regular"/>
          <w:sz w:val="32"/>
          <w:szCs w:val="32"/>
          <w:highlight w:val="none"/>
        </w:rPr>
        <w:t>。主要原因是</w:t>
      </w:r>
      <w:r>
        <w:rPr>
          <w:rFonts w:hint="eastAsia" w:ascii="仿宋_GB2312" w:eastAsia="仿宋_GB2312" w:cs="DengXian-Regular"/>
          <w:sz w:val="32"/>
          <w:szCs w:val="32"/>
          <w:highlight w:val="none"/>
          <w:lang w:eastAsia="zh-CN"/>
        </w:rPr>
        <w:t>追加</w:t>
      </w:r>
      <w:r>
        <w:rPr>
          <w:rFonts w:hint="eastAsia" w:ascii="仿宋_GB2312" w:eastAsia="仿宋_GB2312" w:cs="DengXian-Regular"/>
          <w:sz w:val="32"/>
          <w:szCs w:val="32"/>
          <w:highlight w:val="none"/>
        </w:rPr>
        <w:t>2017年全市宣传工作现场会观摩</w:t>
      </w:r>
      <w:r>
        <w:rPr>
          <w:rFonts w:hint="eastAsia" w:ascii="仿宋_GB2312" w:eastAsia="仿宋_GB2312" w:cs="DengXian-Regular"/>
          <w:sz w:val="32"/>
          <w:szCs w:val="32"/>
        </w:rPr>
        <w:t>点改造</w:t>
      </w:r>
      <w:r>
        <w:rPr>
          <w:rFonts w:hint="eastAsia" w:ascii="仿宋_GB2312" w:eastAsia="仿宋_GB2312" w:cs="DengXian-Regular"/>
          <w:sz w:val="32"/>
          <w:szCs w:val="32"/>
          <w:lang w:eastAsia="zh-CN"/>
        </w:rPr>
        <w:t>项目，在</w:t>
      </w:r>
      <w:r>
        <w:rPr>
          <w:rFonts w:hint="eastAsia" w:ascii="仿宋_GB2312" w:eastAsia="仿宋_GB2312" w:cs="DengXian-Regular"/>
          <w:sz w:val="32"/>
          <w:szCs w:val="32"/>
          <w:lang w:val="en-US" w:eastAsia="zh-CN"/>
        </w:rPr>
        <w:t>2018年完成资金支付</w:t>
      </w:r>
      <w:r>
        <w:rPr>
          <w:rFonts w:hint="eastAsia" w:ascii="仿宋_GB2312" w:eastAsia="仿宋_GB2312" w:cs="DengXian-Regular"/>
          <w:sz w:val="32"/>
          <w:szCs w:val="32"/>
        </w:rPr>
        <w:t>。</w:t>
      </w:r>
    </w:p>
    <w:p>
      <w:pPr>
        <w:keepNext/>
        <w:keepLines/>
        <w:pageBreakBefore w:val="0"/>
        <w:widowControl w:val="0"/>
        <w:kinsoku/>
        <w:wordWrap/>
        <w:overflowPunct/>
        <w:topLinePunct w:val="0"/>
        <w:autoSpaceDE/>
        <w:autoSpaceDN/>
        <w:bidi w:val="0"/>
        <w:adjustRightInd/>
        <w:snapToGrid w:val="0"/>
        <w:spacing w:line="580" w:lineRule="exact"/>
        <w:ind w:left="0" w:leftChars="0" w:right="0" w:rightChars="0" w:firstLine="643" w:firstLineChars="200"/>
        <w:jc w:val="both"/>
        <w:textAlignment w:val="auto"/>
        <w:outlineLvl w:val="2"/>
        <w:rPr>
          <w:rFonts w:ascii="楷体_GB2312" w:hAnsi="Times New Roman" w:eastAsia="楷体_GB2312" w:cs="DengXian-Bold"/>
          <w:b/>
          <w:bCs/>
          <w:kern w:val="2"/>
          <w:sz w:val="32"/>
          <w:szCs w:val="32"/>
          <w:highlight w:val="none"/>
          <w:lang w:val="en-US" w:eastAsia="zh-CN" w:bidi="ar-SA"/>
        </w:rPr>
      </w:pPr>
      <w:r>
        <w:rPr>
          <w:rFonts w:hint="eastAsia" w:ascii="楷体_GB2312" w:hAnsi="Times New Roman" w:eastAsia="楷体_GB2312" w:cs="DengXian-Bold"/>
          <w:b/>
          <w:bCs/>
          <w:kern w:val="2"/>
          <w:sz w:val="32"/>
          <w:szCs w:val="32"/>
          <w:highlight w:val="none"/>
          <w:lang w:val="en-US" w:eastAsia="zh-CN" w:bidi="ar-SA"/>
        </w:rPr>
        <w:t>（二）政府采购情况</w:t>
      </w:r>
    </w:p>
    <w:p>
      <w:pPr>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Times New Roman" w:eastAsia="仿宋_GB2312" w:cs="DengXian-Regular"/>
          <w:sz w:val="32"/>
          <w:szCs w:val="32"/>
          <w:highlight w:val="none"/>
        </w:rPr>
        <w:t>本部门</w:t>
      </w:r>
      <w:r>
        <w:rPr>
          <w:rFonts w:hint="eastAsia" w:ascii="仿宋_GB2312" w:hAnsi="Times New Roman" w:eastAsia="仿宋_GB2312" w:cs="DengXian-Regular"/>
          <w:sz w:val="32"/>
          <w:szCs w:val="32"/>
          <w:highlight w:val="none"/>
          <w:lang w:eastAsia="zh-CN"/>
        </w:rPr>
        <w:t>201</w:t>
      </w:r>
      <w:r>
        <w:rPr>
          <w:rFonts w:hint="eastAsia" w:ascii="仿宋_GB2312" w:hAnsi="Times New Roman" w:eastAsia="仿宋_GB2312" w:cs="DengXian-Regular"/>
          <w:sz w:val="32"/>
          <w:szCs w:val="32"/>
          <w:highlight w:val="none"/>
          <w:lang w:val="en-US" w:eastAsia="zh-CN"/>
        </w:rPr>
        <w:t>8</w:t>
      </w:r>
      <w:r>
        <w:rPr>
          <w:rFonts w:hint="eastAsia" w:ascii="仿宋_GB2312" w:hAnsi="Times New Roman" w:eastAsia="仿宋_GB2312" w:cs="DengXian-Regular"/>
          <w:sz w:val="32"/>
          <w:szCs w:val="32"/>
          <w:highlight w:val="none"/>
          <w:lang w:eastAsia="zh-CN"/>
        </w:rPr>
        <w:t>年</w:t>
      </w:r>
      <w:r>
        <w:rPr>
          <w:rFonts w:hint="eastAsia" w:ascii="仿宋_GB2312" w:hAnsi="Times New Roman" w:eastAsia="仿宋_GB2312" w:cs="DengXian-Regular"/>
          <w:sz w:val="32"/>
          <w:szCs w:val="32"/>
          <w:highlight w:val="none"/>
        </w:rPr>
        <w:t>度政府采购支出总额</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w:t>
      </w:r>
      <w:r>
        <w:rPr>
          <w:rFonts w:hint="eastAsia" w:ascii="仿宋_GB2312" w:hAnsi="Times New Roman" w:eastAsia="仿宋_GB2312" w:cs="DengXian-Regular"/>
          <w:sz w:val="32"/>
          <w:szCs w:val="32"/>
          <w:highlight w:val="none"/>
          <w:lang w:val="en-US" w:eastAsia="zh-CN"/>
        </w:rPr>
        <w:t>从采购类型来看，</w:t>
      </w:r>
      <w:r>
        <w:rPr>
          <w:rFonts w:ascii="仿宋_GB2312" w:hAnsi="仿宋_GB2312" w:eastAsia="仿宋_GB2312" w:cs="仿宋_GB2312"/>
          <w:color w:val="000000"/>
          <w:kern w:val="0"/>
          <w:sz w:val="32"/>
          <w:szCs w:val="32"/>
          <w:highlight w:val="none"/>
          <w:lang w:val="en-US" w:eastAsia="zh-CN" w:bidi="ar"/>
        </w:rPr>
        <w:t>政府采购货物支出</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 xml:space="preserve"> 万元、政府采购工程支出</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 xml:space="preserve">万元、政府采购服务支出 </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万元。授予中小企业合同金</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万元，占政府采购支出总额的</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其中授予小微企业合同金额</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 xml:space="preserve">万元，占政府采购支出总额的 </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val="en-US" w:eastAsia="zh-CN" w:bidi="ar"/>
        </w:rPr>
        <w:t>%。</w:t>
      </w:r>
    </w:p>
    <w:p>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highlight w:val="none"/>
          <w:lang w:val="en-US" w:eastAsia="zh-CN" w:bidi="ar-SA"/>
        </w:rPr>
      </w:pPr>
      <w:r>
        <w:rPr>
          <w:rFonts w:hint="eastAsia" w:ascii="楷体_GB2312" w:hAnsi="Times New Roman" w:eastAsia="楷体_GB2312" w:cs="DengXian-Bold"/>
          <w:b/>
          <w:bCs/>
          <w:kern w:val="2"/>
          <w:sz w:val="32"/>
          <w:szCs w:val="32"/>
          <w:highlight w:val="none"/>
          <w:lang w:val="en-US" w:eastAsia="zh-CN" w:bidi="ar-SA"/>
        </w:rPr>
        <w:t>（三）国有资产占用情况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eastAsia="仿宋_GB2312" w:cs="DengXian-Regular"/>
          <w:sz w:val="32"/>
          <w:szCs w:val="32"/>
          <w:highlight w:val="none"/>
          <w:lang w:eastAsia="zh-CN"/>
        </w:rPr>
      </w:pPr>
      <w:r>
        <w:rPr>
          <w:rFonts w:hint="eastAsia" w:ascii="仿宋_GB2312" w:hAnsi="Times New Roman" w:eastAsia="仿宋_GB2312" w:cs="DengXian-Regular"/>
          <w:sz w:val="32"/>
          <w:szCs w:val="32"/>
          <w:highlight w:val="none"/>
        </w:rPr>
        <w:t>截至</w:t>
      </w:r>
      <w:r>
        <w:rPr>
          <w:rFonts w:hint="eastAsia" w:ascii="仿宋_GB2312" w:hAnsi="Times New Roman" w:eastAsia="仿宋_GB2312" w:cs="DengXian-Regular"/>
          <w:sz w:val="32"/>
          <w:szCs w:val="32"/>
          <w:highlight w:val="none"/>
          <w:lang w:eastAsia="zh-CN"/>
        </w:rPr>
        <w:t>201</w:t>
      </w:r>
      <w:r>
        <w:rPr>
          <w:rFonts w:hint="eastAsia" w:ascii="仿宋_GB2312" w:hAnsi="Times New Roman" w:eastAsia="仿宋_GB2312" w:cs="DengXian-Regular"/>
          <w:sz w:val="32"/>
          <w:szCs w:val="32"/>
          <w:highlight w:val="none"/>
          <w:lang w:val="en-US" w:eastAsia="zh-CN"/>
        </w:rPr>
        <w:t>8</w:t>
      </w:r>
      <w:r>
        <w:rPr>
          <w:rFonts w:hint="eastAsia" w:ascii="仿宋_GB2312" w:hAnsi="Times New Roman" w:eastAsia="仿宋_GB2312" w:cs="DengXian-Regular"/>
          <w:sz w:val="32"/>
          <w:szCs w:val="32"/>
          <w:highlight w:val="none"/>
          <w:lang w:eastAsia="zh-CN"/>
        </w:rPr>
        <w:t>年</w:t>
      </w:r>
      <w:r>
        <w:rPr>
          <w:rFonts w:hint="eastAsia" w:ascii="仿宋_GB2312" w:hAnsi="Times New Roman" w:eastAsia="仿宋_GB2312" w:cs="DengXian-Regular"/>
          <w:sz w:val="32"/>
          <w:szCs w:val="32"/>
          <w:highlight w:val="none"/>
        </w:rPr>
        <w:t>12月31日，本部门共有车辆</w:t>
      </w:r>
      <w:r>
        <w:rPr>
          <w:rFonts w:hint="eastAsia" w:ascii="仿宋_GB2312" w:hAnsi="Times New Roman" w:eastAsia="仿宋_GB2312" w:cs="DengXian-Regular"/>
          <w:sz w:val="32"/>
          <w:szCs w:val="32"/>
          <w:highlight w:val="none"/>
          <w:lang w:val="en-US" w:eastAsia="zh-CN"/>
        </w:rPr>
        <w:t>1</w:t>
      </w:r>
      <w:r>
        <w:rPr>
          <w:rFonts w:hint="eastAsia" w:ascii="仿宋_GB2312" w:hAnsi="Times New Roman" w:eastAsia="仿宋_GB2312" w:cs="DengXian-Regular"/>
          <w:sz w:val="32"/>
          <w:szCs w:val="32"/>
          <w:highlight w:val="none"/>
        </w:rPr>
        <w:t>辆，</w:t>
      </w:r>
      <w:r>
        <w:rPr>
          <w:rFonts w:hint="eastAsia" w:ascii="仿宋_GB2312" w:hAnsi="Times New Roman" w:eastAsia="仿宋_GB2312" w:cs="DengXian-Regular"/>
          <w:sz w:val="32"/>
          <w:szCs w:val="32"/>
          <w:highlight w:val="none"/>
          <w:lang w:val="en-US" w:eastAsia="zh-CN"/>
        </w:rPr>
        <w:t>比上年增加0辆，主要是</w:t>
      </w:r>
      <w:r>
        <w:rPr>
          <w:rFonts w:hint="eastAsia" w:ascii="仿宋_GB2312" w:hAnsi="Times New Roman" w:eastAsia="仿宋_GB2312" w:cs="DengXian-Regular"/>
          <w:sz w:val="32"/>
          <w:szCs w:val="32"/>
          <w:highlight w:val="none"/>
        </w:rPr>
        <w:t>主要是认真贯彻落实中央“八项规定”精神和厉行节约要求，从严控制“三公”经费开支</w:t>
      </w:r>
      <w:r>
        <w:rPr>
          <w:rFonts w:hint="eastAsia" w:ascii="仿宋_GB2312" w:hAnsi="Times New Roman" w:eastAsia="仿宋_GB2312" w:cs="DengXian-Regular"/>
          <w:sz w:val="32"/>
          <w:szCs w:val="32"/>
          <w:highlight w:val="none"/>
          <w:lang w:val="en-US" w:eastAsia="zh-CN"/>
        </w:rPr>
        <w:t>。</w:t>
      </w:r>
      <w:r>
        <w:rPr>
          <w:rFonts w:hint="eastAsia" w:ascii="仿宋_GB2312" w:hAnsi="Times New Roman" w:eastAsia="仿宋_GB2312" w:cs="DengXian-Regular"/>
          <w:sz w:val="32"/>
          <w:szCs w:val="32"/>
          <w:highlight w:val="none"/>
        </w:rPr>
        <w:t>其中，副部（省）级及以上领导用车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主要领导干部用车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机要通信用车</w:t>
      </w:r>
      <w:r>
        <w:rPr>
          <w:rFonts w:hint="eastAsia" w:ascii="仿宋_GB2312" w:hAnsi="Times New Roman" w:eastAsia="仿宋_GB2312" w:cs="DengXian-Regular"/>
          <w:sz w:val="32"/>
          <w:szCs w:val="32"/>
          <w:highlight w:val="none"/>
          <w:lang w:val="en-US" w:eastAsia="zh-CN"/>
        </w:rPr>
        <w:t>1辆，</w:t>
      </w:r>
      <w:r>
        <w:rPr>
          <w:rFonts w:hint="eastAsia" w:ascii="仿宋_GB2312" w:hAnsi="Times New Roman" w:eastAsia="仿宋_GB2312" w:cs="DengXian-Regular"/>
          <w:sz w:val="32"/>
          <w:szCs w:val="32"/>
          <w:highlight w:val="none"/>
        </w:rPr>
        <w:t>应急保障用车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执法执勤用车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特种专业技术用车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离退休干部用车</w:t>
      </w:r>
      <w:r>
        <w:rPr>
          <w:rFonts w:hint="eastAsia" w:ascii="仿宋_GB2312" w:hAnsi="Times New Roman" w:eastAsia="仿宋_GB2312" w:cs="DengXian-Regular"/>
          <w:sz w:val="32"/>
          <w:szCs w:val="32"/>
          <w:highlight w:val="none"/>
          <w:lang w:val="en-US" w:eastAsia="zh-CN"/>
        </w:rPr>
        <w:t>0辆，</w:t>
      </w:r>
      <w:r>
        <w:rPr>
          <w:rFonts w:hint="eastAsia" w:ascii="仿宋_GB2312" w:hAnsi="Times New Roman" w:eastAsia="仿宋_GB2312" w:cs="DengXian-Regular"/>
          <w:sz w:val="32"/>
          <w:szCs w:val="32"/>
          <w:highlight w:val="none"/>
        </w:rPr>
        <w:t>其他用车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辆，其他用车主要是单位公用车</w:t>
      </w:r>
      <w:r>
        <w:rPr>
          <w:rFonts w:hint="eastAsia" w:ascii="仿宋_GB2312" w:eastAsia="仿宋_GB2312" w:cs="DengXian-Regular"/>
          <w:sz w:val="32"/>
          <w:szCs w:val="32"/>
          <w:highlight w:val="none"/>
          <w:lang w:eastAsia="zh-CN"/>
        </w:rPr>
        <w:t>。</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eastAsia="仿宋_GB2312" w:cs="DengXian-Regular"/>
          <w:sz w:val="32"/>
          <w:szCs w:val="32"/>
          <w:highlight w:val="none"/>
          <w:lang w:eastAsia="zh-CN"/>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万元以上通用设备0台（套），与上年持平 ，单位价值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万元以上专用设备0台（套）与上年持平。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w:t>
      </w:r>
      <w:r>
        <w:rPr>
          <w:rFonts w:ascii="仿宋_GB2312" w:eastAsia="仿宋_GB2312" w:cs="DengXian-Regular"/>
          <w:sz w:val="32"/>
          <w:szCs w:val="32"/>
        </w:rPr>
        <mc:AlternateContent>
          <mc:Choice Requires="wpg">
            <w:drawing>
              <wp:anchor distT="0" distB="0" distL="114300" distR="114300" simplePos="0" relativeHeight="25169817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89" name="组合 8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7" name="矩形 77"/>
                        <wps:cNvSpPr/>
                        <wps:spPr>
                          <a:xfrm>
                            <a:off x="4551" y="52615"/>
                            <a:ext cx="8546" cy="1175"/>
                          </a:xfrm>
                          <a:prstGeom prst="rect">
                            <a:avLst/>
                          </a:prstGeom>
                          <a:solidFill>
                            <a:srgbClr val="96DA9D"/>
                          </a:solidFill>
                          <a:ln w="25400">
                            <a:noFill/>
                          </a:ln>
                        </wps:spPr>
                        <wps:bodyPr anchor="ctr" upright="1"/>
                      </wps:wsp>
                      <wps:wsp>
                        <wps:cNvPr id="78" name="矩形 78"/>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upright="1"/>
                      </wps:wsp>
                    </wpg:wgp>
                  </a:graphicData>
                </a:graphic>
              </wp:anchor>
            </w:drawing>
          </mc:Choice>
          <mc:Fallback>
            <w:pict>
              <v:group id="_x0000_s1026" o:spid="_x0000_s1026" o:spt="203" style="position:absolute;left:0pt;margin-left:-80.9pt;margin-top:-81.1pt;height:41.2pt;width:243.2pt;mso-position-vertical-relative:page;z-index:25169817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tRBK7EAgAACgcAAA4AAABkcnMvZTJvRG9jLnht&#10;bL1VS27bMBDdF+gdCO4bffyJLEQOgirJpmgDpD0ATVEfgCIJkrbsfRdd9gYFuusZih4n6DU6pGQl&#10;TgPU/aAbieQMhzPvPQ7PzrctRxumTSNFhqOTECMmqCwaUWX43durFwlGxhJREC4Fy/COGXy+fP7s&#10;rFMpi2UtecE0giDCpJ3KcG2tSoPA0Jq1xJxIxQQYS6lbYmGqq6DQpIPoLQ/iMJwHndSF0pIyY2A1&#10;7414iKiPCSjLsqEsl3TdMmH7qJpxYqEkUzfK4KXPtiwZtW/K0jCLeIahUuu/cAiMV+4bLM9IWmmi&#10;6oYOKZBjUnhUU0saAYeOoXJiCVrr5qdQbUO1NLK0J1S2QV+IRwSqiMJH2FxruVa+lirtKjWCDkQ9&#10;Qv2Pw9LXmxuNmiLDyQIjQVpg/PvX93cfPyBYAHQ6VaXgdK3VrbrRw0LVz1zB21K37g+loK3HdTfi&#10;yrYWUVichEkynwLkFGyzeBLD2ANPa2DHbZvOZhFG3jqPZnvj5bA/mU3n/eZoskicNdgfHLj8xnQ6&#10;BZo090CZvwPqtiaKefyNw2AA6vR0BOrTl7tvnxEseFy804iSSQ0A9gRET9W6R+pBpdGpx2GslKRK&#10;G3vNZIvcIMMaxO01RzavjO1B2bu4Y43kTXHVcO4nulq95BptCFyExTy/WOQDjgduXKAuw/FsGoY+&#10;tJAuQB+bC8DdIdzX5UYrWewAFSJoLeFSUasxWivdVDXkF/kDBkqckP4HN9C8BhEP3Hi5uLOBwGO4&#10;cex6HSaLQaQjN6DbQYVRPDlQ4T/k5iIPw/iX3CBKoPWW0PIgo1bB9TWi8owd0Gkesp5MZ3Ho7zRo&#10;6sDNqSYnpu7V4U2uPJK2jWXaj2pGiktRILtT0CEEvAzYKaVlBUacwUPiRt7TkoYf4wlJPKEou11t&#10;Iczvisu3AWiRvjMM7dz14Idzr977J2z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yaUsrcAAAA&#10;DQEAAA8AAAAAAAAAAQAgAAAAIgAAAGRycy9kb3ducmV2LnhtbFBLAQIUABQAAAAIAIdO4kDrUQSu&#10;xAIAAAoHAAAOAAAAAAAAAAEAIAAAACsBAABkcnMvZTJvRG9jLnhtbFBLBQYAAAAABgAGAFkBAABh&#10;BgAAAAA=&#10;">
                <o:lock v:ext="edit" aspectratio="f"/>
                <v:rect id="_x0000_s1026" o:spid="_x0000_s1026" o:spt="1" style="position:absolute;left:4551;top:52615;height:1175;width:8546;v-text-anchor:middle;" fillcolor="#96DA9D" filled="t" stroked="f" coordsize="21600,21600" o:gfxdata="UEsDBAoAAAAAAIdO4kAAAAAAAAAAAAAAAAAEAAAAZHJzL1BLAwQUAAAACACHTuJAu1q7hrsAAADb&#10;AAAADwAAAGRycy9kb3ducmV2LnhtbEWPQWsCMRSE74L/ITyht/qyhVZZjR6EQk+F2vbg7bF5bhY3&#10;L0sS1+2/bwoFj8PMfMNs95Pv1cgxdUEMVEsNiqUJtpPWwNfn6+MaVMoklvogbOCHE+x389mWahtu&#10;8sHjMbeqQCTVZMDlPNSIqXHsKS3DwFK8c4iecpGxRRvpVuC+xyetX9BTJ2XB0cAHx83lePUGMHJE&#10;F6dzPKXxitW7/n5uLsY8LCq9AZV5yvfwf/vNGlit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q7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dEEmYLoAAADb&#10;AAAADwAAAGRycy9kb3ducmV2LnhtbEVPy4rCMBTdC/5DuII7TZ1FHapRRBBHQYbRiri7NNem2NyU&#10;Jr7m6yeLAZeH857On7YWd2p95VjBaJiAIC6crrhUkB9Wg08QPiBrrB2Tghd5mM+6nSlm2j34h+77&#10;UIoYwj5DBSaEJpPSF4Ys+qFriCN3ca3FEGFbSt3iI4bbWn4kSSotVhwbDDa0NFRc9zer4Ds35zVu&#10;6WR32+sxX1SY/m5Spfq9UTIBEegZ3uJ/95dWMI5j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QSZ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仿宋_GB2312" w:eastAsia="仿宋_GB2312" w:cs="DengXian-Regular"/>
          <w:sz w:val="32"/>
          <w:szCs w:val="32"/>
        </w:rPr>
        <w:t>款无收支及结转结余情况，故国有资本经营预算财政拨款收入支出决算表以空表列示。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spacing w:after="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588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588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691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691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75CBD4E-19E1-4B3D-8D87-077B5B1EF7EE}"/>
  </w:font>
  <w:font w:name="黑体">
    <w:panose1 w:val="02010609060101010101"/>
    <w:charset w:val="86"/>
    <w:family w:val="auto"/>
    <w:pitch w:val="default"/>
    <w:sig w:usb0="800002BF" w:usb1="38CF7CFA" w:usb2="00000016" w:usb3="00000000" w:csb0="00040001" w:csb1="00000000"/>
    <w:embedRegular r:id="rId2" w:fontKey="{0E697266-5C6B-4319-8F3C-F5537A7E310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90D9E15-3997-4683-A7E5-3C085946D3A8}"/>
  </w:font>
  <w:font w:name="Cambria">
    <w:panose1 w:val="02040503050406030204"/>
    <w:charset w:val="00"/>
    <w:family w:val="roman"/>
    <w:pitch w:val="default"/>
    <w:sig w:usb0="E00002FF" w:usb1="400004FF" w:usb2="00000000" w:usb3="00000000" w:csb0="2000019F" w:csb1="00000000"/>
    <w:embedRegular r:id="rId4" w:fontKey="{4F2BF95A-3466-4D2C-B0DA-4C26568E1E0E}"/>
  </w:font>
  <w:font w:name="楷体">
    <w:panose1 w:val="02010609060101010101"/>
    <w:charset w:val="86"/>
    <w:family w:val="modern"/>
    <w:pitch w:val="default"/>
    <w:sig w:usb0="800002BF" w:usb1="38CF7CFA" w:usb2="00000016" w:usb3="00000000" w:csb0="00040001" w:csb1="00000000"/>
    <w:embedRegular r:id="rId5" w:fontKey="{665784A4-CF2B-4078-9373-460107EF6614}"/>
  </w:font>
  <w:font w:name="仿宋_GB2312">
    <w:panose1 w:val="02010609030101010101"/>
    <w:charset w:val="86"/>
    <w:family w:val="modern"/>
    <w:pitch w:val="default"/>
    <w:sig w:usb0="00000001" w:usb1="080E0000" w:usb2="00000000" w:usb3="00000000" w:csb0="00040000" w:csb1="00000000"/>
    <w:embedRegular r:id="rId6" w:fontKey="{DB8C0ECA-DDBC-4288-BFCF-EE23AE996501}"/>
  </w:font>
  <w:font w:name="ArialUnicodeMS">
    <w:altName w:val="Dotum"/>
    <w:panose1 w:val="00000000000000000000"/>
    <w:charset w:val="81"/>
    <w:family w:val="auto"/>
    <w:pitch w:val="default"/>
    <w:sig w:usb0="00000000" w:usb1="00000000" w:usb2="00000010" w:usb3="00000000" w:csb0="00080001" w:csb1="00000000"/>
    <w:embedRegular r:id="rId7" w:fontKey="{915A18C6-B68D-4282-BD33-4E1F8E7E5DD3}"/>
  </w:font>
  <w:font w:name="Dotum">
    <w:panose1 w:val="020B0600000101010101"/>
    <w:charset w:val="81"/>
    <w:family w:val="auto"/>
    <w:pitch w:val="default"/>
    <w:sig w:usb0="B00002AF" w:usb1="69D77CFB" w:usb2="00000030" w:usb3="00000000" w:csb0="4008009F" w:csb1="DFD70000"/>
  </w:font>
  <w:font w:name="MS-UIGothic,Bold">
    <w:altName w:val="Dotum"/>
    <w:panose1 w:val="00000000000000000000"/>
    <w:charset w:val="81"/>
    <w:family w:val="auto"/>
    <w:pitch w:val="default"/>
    <w:sig w:usb0="00000000" w:usb1="00000000" w:usb2="00000010" w:usb3="00000000" w:csb0="00080000" w:csb1="00000000"/>
    <w:embedRegular r:id="rId8" w:fontKey="{9D624342-812F-487E-9A86-DF7ABDE9BB81}"/>
  </w:font>
  <w:font w:name="仿宋">
    <w:panose1 w:val="02010609060101010101"/>
    <w:charset w:val="86"/>
    <w:family w:val="modern"/>
    <w:pitch w:val="default"/>
    <w:sig w:usb0="800002BF" w:usb1="38CF7CFA" w:usb2="00000016" w:usb3="00000000" w:csb0="00040001" w:csb1="00000000"/>
    <w:embedRegular r:id="rId9" w:fontKey="{DBB36F15-7CA3-4675-B745-6884B51BB90A}"/>
  </w:font>
  <w:font w:name="DengXian-Regular">
    <w:altName w:val="宋体"/>
    <w:panose1 w:val="00000000000000000000"/>
    <w:charset w:val="86"/>
    <w:family w:val="auto"/>
    <w:pitch w:val="default"/>
    <w:sig w:usb0="00000000" w:usb1="00000000" w:usb2="00000010" w:usb3="00000000" w:csb0="00040001" w:csb1="00000000"/>
    <w:embedRegular r:id="rId10" w:fontKey="{663B9009-9E71-4B51-A006-3DE14F15CC76}"/>
  </w:font>
  <w:font w:name="楷体_GB2312">
    <w:panose1 w:val="02010609030101010101"/>
    <w:charset w:val="86"/>
    <w:family w:val="modern"/>
    <w:pitch w:val="default"/>
    <w:sig w:usb0="00000000" w:usb1="00000000" w:usb2="00000000" w:usb3="00000000" w:csb0="00000000" w:csb1="00000000"/>
    <w:embedRegular r:id="rId11" w:fontKey="{52D7718B-C601-480C-BF8D-474ED0D0AE4B}"/>
  </w:font>
  <w:font w:name="DengXian-Bold">
    <w:altName w:val="宋体"/>
    <w:panose1 w:val="00000000000000000000"/>
    <w:charset w:val="86"/>
    <w:family w:val="auto"/>
    <w:pitch w:val="default"/>
    <w:sig w:usb0="00000000" w:usb1="00000000" w:usb2="00000010" w:usb3="00000000" w:csb0="00040001" w:csb1="00000000"/>
    <w:embedRegular r:id="rId12" w:fontKey="{9A5B5DCC-7E59-4301-89D4-F3041D3F4978}"/>
  </w:font>
  <w:font w:name="Wingdings 2">
    <w:panose1 w:val="05020102010507070707"/>
    <w:charset w:val="00"/>
    <w:family w:val="auto"/>
    <w:pitch w:val="default"/>
    <w:sig w:usb0="00000000" w:usb1="00000000" w:usb2="00000000" w:usb3="00000000" w:csb0="80000000" w:csb1="00000000"/>
    <w:embedRegular r:id="rId13" w:fontKey="{3A81E402-A7B3-468F-BE79-024785A8B9B3}"/>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5956F3"/>
    <w:multiLevelType w:val="singleLevel"/>
    <w:tmpl w:val="B15956F3"/>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8192C"/>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97C0B"/>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E97623"/>
    <w:rsid w:val="04073F84"/>
    <w:rsid w:val="08A341F0"/>
    <w:rsid w:val="0B60750A"/>
    <w:rsid w:val="10686488"/>
    <w:rsid w:val="10DF728A"/>
    <w:rsid w:val="120820DD"/>
    <w:rsid w:val="124958E3"/>
    <w:rsid w:val="1264200E"/>
    <w:rsid w:val="13BE0FEF"/>
    <w:rsid w:val="141C5B77"/>
    <w:rsid w:val="18D8339D"/>
    <w:rsid w:val="193746A5"/>
    <w:rsid w:val="1A21388F"/>
    <w:rsid w:val="1A570D2F"/>
    <w:rsid w:val="21CF1DE9"/>
    <w:rsid w:val="22ED65C3"/>
    <w:rsid w:val="24397DA5"/>
    <w:rsid w:val="250413C2"/>
    <w:rsid w:val="2827240A"/>
    <w:rsid w:val="28FB0B8D"/>
    <w:rsid w:val="29A41A93"/>
    <w:rsid w:val="2B816318"/>
    <w:rsid w:val="2D2B7942"/>
    <w:rsid w:val="2D46481D"/>
    <w:rsid w:val="2E733B28"/>
    <w:rsid w:val="31852B5A"/>
    <w:rsid w:val="32925901"/>
    <w:rsid w:val="32D01238"/>
    <w:rsid w:val="35B65773"/>
    <w:rsid w:val="36CF5B52"/>
    <w:rsid w:val="3C7D07E3"/>
    <w:rsid w:val="3DA55D86"/>
    <w:rsid w:val="3DFC59A8"/>
    <w:rsid w:val="3ECF245E"/>
    <w:rsid w:val="3FB96314"/>
    <w:rsid w:val="409D7DFF"/>
    <w:rsid w:val="41F616A8"/>
    <w:rsid w:val="43131AE1"/>
    <w:rsid w:val="46E04663"/>
    <w:rsid w:val="4B814A58"/>
    <w:rsid w:val="53A44FAF"/>
    <w:rsid w:val="586C13B1"/>
    <w:rsid w:val="594329EC"/>
    <w:rsid w:val="5BC30C91"/>
    <w:rsid w:val="5BEE1540"/>
    <w:rsid w:val="5D9F1707"/>
    <w:rsid w:val="5DE61A5D"/>
    <w:rsid w:val="5F5C15A2"/>
    <w:rsid w:val="61D2717F"/>
    <w:rsid w:val="626F0B58"/>
    <w:rsid w:val="63C04243"/>
    <w:rsid w:val="649C01C7"/>
    <w:rsid w:val="653540B0"/>
    <w:rsid w:val="65E946E2"/>
    <w:rsid w:val="664E5F0D"/>
    <w:rsid w:val="666B3EFD"/>
    <w:rsid w:val="67CC434D"/>
    <w:rsid w:val="688465E6"/>
    <w:rsid w:val="699A3F60"/>
    <w:rsid w:val="6B7D31B7"/>
    <w:rsid w:val="719A65D8"/>
    <w:rsid w:val="72902E62"/>
    <w:rsid w:val="73C61104"/>
    <w:rsid w:val="776452EA"/>
    <w:rsid w:val="7DC663B9"/>
    <w:rsid w:val="7EA844BF"/>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7B95D053-6D01-4BBE-B62F-774EB624906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2109</Words>
  <Characters>12027</Characters>
  <Lines>100</Lines>
  <Paragraphs>28</Paragraphs>
  <TotalTime>0</TotalTime>
  <ScaleCrop>false</ScaleCrop>
  <LinksUpToDate>false</LinksUpToDate>
  <CharactersWithSpaces>14108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2021-06-21T08:15:31Z</dcterms:modified>
  <dc:subject>石家庄市xxx部门</dc:subject>
  <dc:title>2017年度部门决算</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C6122E773AF04F50967D91EFF5B692DF</vt:lpwstr>
  </property>
</Properties>
</file>