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方正小标宋简体" w:asciiTheme="majorEastAsia" w:hAnsiTheme="majorEastAsia" w:eastAsiaTheme="majorEastAsia"/>
          <w:b/>
          <w:sz w:val="36"/>
          <w:szCs w:val="36"/>
          <w:highlight w:val="none"/>
          <w:lang w:eastAsia="zh-CN"/>
        </w:rPr>
      </w:pPr>
      <w:r>
        <w:rPr>
          <w:rFonts w:hint="eastAsia" w:cs="方正小标宋简体" w:asciiTheme="majorEastAsia" w:hAnsiTheme="majorEastAsia" w:eastAsiaTheme="majorEastAsia"/>
          <w:b/>
          <w:sz w:val="36"/>
          <w:szCs w:val="36"/>
        </w:rPr>
        <w:t>饶阳县</w:t>
      </w:r>
      <w:r>
        <w:rPr>
          <w:rFonts w:hint="eastAsia" w:cs="方正小标宋简体" w:asciiTheme="majorEastAsia" w:hAnsiTheme="majorEastAsia" w:eastAsiaTheme="majorEastAsia"/>
          <w:b/>
          <w:sz w:val="36"/>
          <w:szCs w:val="36"/>
          <w:highlight w:val="none"/>
          <w:lang w:eastAsia="zh-CN"/>
        </w:rPr>
        <w:t>卫生健康局</w:t>
      </w:r>
    </w:p>
    <w:p>
      <w:pPr>
        <w:jc w:val="center"/>
        <w:rPr>
          <w:rFonts w:cs="方正小标宋简体" w:asciiTheme="majorEastAsia" w:hAnsiTheme="majorEastAsia" w:eastAsiaTheme="majorEastAsia"/>
          <w:b/>
          <w:sz w:val="36"/>
          <w:szCs w:val="36"/>
        </w:rPr>
      </w:pPr>
      <w:r>
        <w:rPr>
          <w:rFonts w:cs="方正小标宋简体" w:asciiTheme="majorEastAsia" w:hAnsiTheme="majorEastAsia" w:eastAsiaTheme="majorEastAsia"/>
          <w:b/>
          <w:sz w:val="36"/>
          <w:szCs w:val="36"/>
        </w:rPr>
        <w:t>201</w:t>
      </w:r>
      <w:r>
        <w:rPr>
          <w:rFonts w:hint="eastAsia" w:cs="方正小标宋简体" w:asciiTheme="majorEastAsia" w:hAnsiTheme="majorEastAsia" w:eastAsiaTheme="majorEastAsia"/>
          <w:b/>
          <w:sz w:val="36"/>
          <w:szCs w:val="36"/>
          <w:lang w:val="en-US" w:eastAsia="zh-CN"/>
        </w:rPr>
        <w:t>9</w:t>
      </w:r>
      <w:r>
        <w:rPr>
          <w:rFonts w:hint="eastAsia" w:cs="方正小标宋简体" w:asciiTheme="majorEastAsia" w:hAnsiTheme="majorEastAsia" w:eastAsiaTheme="majorEastAsia"/>
          <w:b/>
          <w:sz w:val="36"/>
          <w:szCs w:val="36"/>
        </w:rPr>
        <w:t>年部门预算信息公开</w:t>
      </w:r>
    </w:p>
    <w:p>
      <w:pPr>
        <w:ind w:firstLine="640" w:firstLineChars="200"/>
        <w:rPr>
          <w:rFonts w:hint="eastAsia" w:ascii="仿宋_GB2312" w:hAnsi="楷体" w:cs="楷体"/>
          <w:bCs/>
        </w:rPr>
      </w:pPr>
      <w:r>
        <w:rPr>
          <w:rFonts w:hint="eastAsia" w:ascii="仿宋_GB2312" w:hAnsi="楷体" w:cs="楷体"/>
          <w:bCs/>
        </w:rPr>
        <w:t>按照《中华人民共和国预算法》、《中共河北省委办公厅河北省人民政府办公厅印发〈关于进一步推进预算公开工作的实施意见〉的通知》和《河北省预决算公开操作规程实施细则》规定。</w:t>
      </w:r>
      <w:r>
        <w:rPr>
          <w:rFonts w:ascii="仿宋_GB2312" w:hAnsi="楷体" w:cs="楷体"/>
          <w:bCs/>
        </w:rPr>
        <w:t>现将</w:t>
      </w:r>
      <w:r>
        <w:rPr>
          <w:rFonts w:hint="eastAsia" w:ascii="仿宋_GB2312" w:hAnsi="楷体" w:cs="楷体"/>
          <w:bCs/>
        </w:rPr>
        <w:t>饶阳</w:t>
      </w:r>
      <w:r>
        <w:rPr>
          <w:rFonts w:hint="eastAsia" w:ascii="仿宋_GB2312" w:hAnsi="楷体" w:cs="楷体"/>
          <w:bCs/>
          <w:lang w:eastAsia="zh-CN"/>
        </w:rPr>
        <w:t>县</w:t>
      </w:r>
      <w:r>
        <w:rPr>
          <w:rFonts w:hint="eastAsia" w:ascii="仿宋_GB2312" w:hAnsi="楷体" w:cs="楷体"/>
          <w:bCs/>
          <w:highlight w:val="none"/>
          <w:lang w:eastAsia="zh-CN"/>
        </w:rPr>
        <w:t>卫生和健康局</w:t>
      </w:r>
      <w:r>
        <w:rPr>
          <w:rFonts w:hint="eastAsia" w:ascii="仿宋_GB2312" w:hAnsi="楷体" w:cs="楷体"/>
          <w:bCs/>
        </w:rPr>
        <w:t>20</w:t>
      </w:r>
      <w:r>
        <w:rPr>
          <w:rFonts w:ascii="仿宋_GB2312" w:hAnsi="楷体" w:cs="楷体"/>
          <w:bCs/>
        </w:rPr>
        <w:t>1</w:t>
      </w:r>
      <w:r>
        <w:rPr>
          <w:rFonts w:hint="eastAsia" w:ascii="仿宋_GB2312" w:hAnsi="楷体" w:cs="楷体"/>
          <w:bCs/>
          <w:lang w:val="en-US" w:eastAsia="zh-CN"/>
        </w:rPr>
        <w:t>9</w:t>
      </w:r>
      <w:r>
        <w:rPr>
          <w:rFonts w:ascii="仿宋_GB2312" w:hAnsi="楷体" w:cs="楷体"/>
          <w:bCs/>
        </w:rPr>
        <w:t>年部门预算公开如下</w:t>
      </w:r>
      <w:r>
        <w:rPr>
          <w:rFonts w:hint="eastAsia" w:ascii="仿宋_GB2312" w:hAnsi="楷体" w:cs="楷体"/>
          <w:bCs/>
        </w:rPr>
        <w:t>:</w:t>
      </w:r>
    </w:p>
    <w:p>
      <w:pPr>
        <w:ind w:firstLine="643" w:firstLineChars="200"/>
        <w:rPr>
          <w:rFonts w:ascii="仿宋_GB2312" w:hAnsi="楷体" w:cs="Times New Roman"/>
          <w:b/>
          <w:bCs/>
        </w:rPr>
      </w:pPr>
      <w:r>
        <w:rPr>
          <w:rFonts w:hint="eastAsia" w:ascii="仿宋_GB2312" w:hAnsi="楷体" w:cs="楷体"/>
          <w:b/>
          <w:bCs/>
        </w:rPr>
        <w:t>（一）饶阳县</w:t>
      </w:r>
      <w:r>
        <w:rPr>
          <w:rFonts w:hint="eastAsia" w:ascii="仿宋_GB2312" w:hAnsi="楷体" w:cs="楷体"/>
          <w:b/>
          <w:bCs w:val="0"/>
          <w:highlight w:val="none"/>
          <w:lang w:eastAsia="zh-CN"/>
        </w:rPr>
        <w:t>卫生健康局</w:t>
      </w:r>
      <w:r>
        <w:rPr>
          <w:rFonts w:hint="eastAsia" w:ascii="仿宋_GB2312" w:hAnsi="楷体" w:cs="楷体"/>
          <w:b/>
          <w:bCs w:val="0"/>
        </w:rPr>
        <w:t>2</w:t>
      </w:r>
      <w:r>
        <w:rPr>
          <w:rFonts w:hint="eastAsia" w:ascii="仿宋_GB2312" w:hAnsi="楷体" w:cs="楷体"/>
          <w:b/>
          <w:bCs/>
        </w:rPr>
        <w:t>01</w:t>
      </w:r>
      <w:r>
        <w:rPr>
          <w:rFonts w:hint="eastAsia" w:ascii="仿宋_GB2312" w:hAnsi="楷体" w:cs="楷体"/>
          <w:b/>
          <w:bCs/>
          <w:lang w:val="en-US" w:eastAsia="zh-CN"/>
        </w:rPr>
        <w:t>9</w:t>
      </w:r>
      <w:r>
        <w:rPr>
          <w:rFonts w:hint="eastAsia" w:ascii="仿宋_GB2312" w:hAnsi="楷体" w:cs="楷体"/>
          <w:b/>
          <w:bCs/>
        </w:rPr>
        <w:t xml:space="preserve">年部门预算信息公开 </w:t>
      </w:r>
    </w:p>
    <w:p>
      <w:pPr>
        <w:ind w:firstLine="643" w:firstLineChars="200"/>
        <w:rPr>
          <w:rFonts w:hint="eastAsia" w:ascii="仿宋_GB2312" w:cs="Times New Roman"/>
          <w:b/>
          <w:bCs/>
        </w:rPr>
      </w:pPr>
      <w:r>
        <w:rPr>
          <w:rFonts w:hint="eastAsia" w:ascii="仿宋_GB2312"/>
          <w:b/>
          <w:bCs/>
        </w:rPr>
        <w:t>1</w:t>
      </w:r>
      <w:r>
        <w:rPr>
          <w:rFonts w:hint="eastAsia" w:ascii="仿宋_GB2312" w:cs="仿宋_GB2312"/>
          <w:b/>
          <w:bCs/>
        </w:rPr>
        <w:t>、部门职责及机构设置情况</w:t>
      </w:r>
    </w:p>
    <w:p>
      <w:pPr>
        <w:ind w:firstLine="643" w:firstLineChars="200"/>
        <w:rPr>
          <w:rFonts w:hint="eastAsia" w:ascii="仿宋_GB2312" w:cs="仿宋_GB2312"/>
          <w:b/>
          <w:bCs/>
        </w:rPr>
      </w:pPr>
      <w:r>
        <w:rPr>
          <w:rFonts w:hint="eastAsia" w:ascii="仿宋_GB2312" w:cs="仿宋_GB2312"/>
          <w:b/>
          <w:bCs/>
        </w:rPr>
        <w:t>部门职责</w:t>
      </w:r>
    </w:p>
    <w:p>
      <w:pPr>
        <w:spacing w:line="360" w:lineRule="auto"/>
        <w:ind w:firstLine="640" w:firstLineChars="200"/>
        <w:rPr>
          <w:rFonts w:ascii="仿宋_GB2312"/>
        </w:rPr>
      </w:pPr>
      <w:r>
        <w:rPr>
          <w:rFonts w:hint="eastAsia" w:ascii="仿宋_GB2312"/>
        </w:rPr>
        <w:t>（一）贯彻执行国家卫生工作方针、政策和法律、法规；研究拟定全县卫生改革与发展目标、规划和政策措施。</w:t>
      </w:r>
    </w:p>
    <w:p>
      <w:pPr>
        <w:spacing w:line="360" w:lineRule="auto"/>
        <w:ind w:firstLine="640" w:firstLineChars="200"/>
        <w:rPr>
          <w:rFonts w:ascii="仿宋_GB2312"/>
        </w:rPr>
      </w:pPr>
      <w:r>
        <w:rPr>
          <w:rFonts w:hint="eastAsia" w:ascii="仿宋_GB2312"/>
        </w:rPr>
        <w:t>（二）统筹规划与协调全县卫生资源配置，指导区域卫生规划的编制和实施。</w:t>
      </w:r>
    </w:p>
    <w:p>
      <w:pPr>
        <w:spacing w:line="360" w:lineRule="auto"/>
        <w:ind w:firstLine="640" w:firstLineChars="200"/>
        <w:rPr>
          <w:rFonts w:ascii="仿宋_GB2312"/>
        </w:rPr>
      </w:pPr>
      <w:r>
        <w:rPr>
          <w:rFonts w:hint="eastAsia" w:ascii="仿宋_GB2312"/>
        </w:rPr>
        <w:t>（三）制定社区卫生、妇幼卫生发展规划和政策措施，规划并指导社区卫生服务体系建设，负责妇幼保健的综合管理和监督。</w:t>
      </w:r>
    </w:p>
    <w:p>
      <w:pPr>
        <w:spacing w:line="360" w:lineRule="auto"/>
        <w:ind w:firstLine="640" w:firstLineChars="200"/>
        <w:rPr>
          <w:rFonts w:ascii="仿宋_GB2312"/>
        </w:rPr>
      </w:pPr>
      <w:r>
        <w:rPr>
          <w:rFonts w:hint="eastAsia" w:ascii="仿宋_GB2312"/>
        </w:rPr>
        <w:t>（四）负责疾病预防控制工作，制定实施重大疾病防治规划与策略，协调有关部门对重大疾病实施防控与干预，发布法定报告传染病疫情信息。</w:t>
      </w:r>
    </w:p>
    <w:p>
      <w:pPr>
        <w:spacing w:line="360" w:lineRule="auto"/>
        <w:ind w:firstLine="640" w:firstLineChars="200"/>
        <w:rPr>
          <w:rFonts w:ascii="仿宋_GB2312"/>
        </w:rPr>
      </w:pPr>
      <w:r>
        <w:rPr>
          <w:rFonts w:hint="eastAsia" w:ascii="仿宋_GB2312"/>
        </w:rPr>
        <w:t>（五）负责医疗机构医疗服务的全行业监督管理，制定医疗机构医疗服务、技术、医疗质量和采供血机构管理的政策、规范、标准，组织制定医疗卫生职业道德规范，建立医疗机构医疗服务评价和监督体系。负责县保健对象的医疗保健工作，负责县直部门有关干部医疗管理工作，负责重要会议与重大活动的医疗卫生保障工作。</w:t>
      </w:r>
    </w:p>
    <w:p>
      <w:pPr>
        <w:spacing w:line="360" w:lineRule="auto"/>
        <w:ind w:firstLine="640" w:firstLineChars="200"/>
        <w:rPr>
          <w:rFonts w:ascii="仿宋_GB2312" w:hAnsi="宋体"/>
          <w:b/>
        </w:rPr>
      </w:pPr>
      <w:r>
        <w:rPr>
          <w:rFonts w:hint="eastAsia" w:ascii="仿宋_GB2312"/>
        </w:rPr>
        <w:t>（六）承办县政府交办的其他事项。</w:t>
      </w:r>
    </w:p>
    <w:p>
      <w:pPr>
        <w:ind w:firstLine="643" w:firstLineChars="200"/>
        <w:rPr>
          <w:rFonts w:hint="eastAsia" w:ascii="仿宋_GB2312" w:cs="仿宋_GB2312"/>
          <w:b/>
          <w:bCs/>
        </w:rPr>
      </w:pPr>
      <w:r>
        <w:rPr>
          <w:rFonts w:hint="eastAsia" w:ascii="仿宋_GB2312" w:cs="仿宋_GB2312"/>
          <w:b/>
          <w:bCs/>
        </w:rPr>
        <w:t>机构设置情况</w:t>
      </w:r>
    </w:p>
    <w:p>
      <w:pPr>
        <w:jc w:val="center"/>
        <w:outlineLvl w:val="0"/>
        <w:rPr>
          <w:rFonts w:hint="eastAsia" w:ascii="方正小标宋_GBK" w:eastAsia="方正小标宋_GBK"/>
        </w:rPr>
      </w:pPr>
      <w:bookmarkStart w:id="0" w:name="_Toc508098008"/>
      <w:r>
        <w:rPr>
          <w:rFonts w:hint="eastAsia" w:ascii="方正小标宋_GBK" w:eastAsia="方正小标宋_GBK"/>
        </w:rPr>
        <w:t>部门基本情况表</w:t>
      </w:r>
      <w:bookmarkEnd w:id="0"/>
    </w:p>
    <w:tbl>
      <w:tblPr>
        <w:tblStyle w:val="10"/>
        <w:tblW w:w="142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5" w:hRule="atLeast"/>
          <w:tblHeader/>
          <w:jc w:val="center"/>
        </w:trPr>
        <w:tc>
          <w:tcPr>
            <w:tcW w:w="100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highlight w:val="none"/>
                <w:lang w:val="en-US" w:eastAsia="zh-CN"/>
              </w:rPr>
              <w:t>361饶阳县卫生健康局</w:t>
            </w:r>
          </w:p>
        </w:tc>
        <w:tc>
          <w:tcPr>
            <w:tcW w:w="4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小标宋_GBK" w:eastAsia="方正小标宋_GBK"/>
                <w:sz w:val="24"/>
              </w:rPr>
            </w:pPr>
            <w:r>
              <w:rPr>
                <w:rFonts w:hint="eastAsia" w:ascii="方正小标宋_GBK" w:eastAsia="方正小标宋_GBK"/>
                <w:sz w:val="24"/>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restart"/>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单位名称</w:t>
            </w:r>
          </w:p>
        </w:tc>
        <w:tc>
          <w:tcPr>
            <w:tcW w:w="1134" w:type="dxa"/>
            <w:vMerge w:val="restart"/>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单位性质</w:t>
            </w:r>
          </w:p>
        </w:tc>
        <w:tc>
          <w:tcPr>
            <w:tcW w:w="1276" w:type="dxa"/>
            <w:vMerge w:val="restart"/>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单位规格</w:t>
            </w:r>
          </w:p>
        </w:tc>
        <w:tc>
          <w:tcPr>
            <w:tcW w:w="2353" w:type="dxa"/>
            <w:vMerge w:val="restart"/>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经费保障形式</w:t>
            </w:r>
          </w:p>
        </w:tc>
        <w:tc>
          <w:tcPr>
            <w:tcW w:w="709" w:type="dxa"/>
            <w:vMerge w:val="restart"/>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车辆编制数</w:t>
            </w:r>
          </w:p>
        </w:tc>
        <w:tc>
          <w:tcPr>
            <w:tcW w:w="1418" w:type="dxa"/>
            <w:gridSpan w:val="2"/>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编制人数</w:t>
            </w:r>
          </w:p>
        </w:tc>
        <w:tc>
          <w:tcPr>
            <w:tcW w:w="1418" w:type="dxa"/>
            <w:gridSpan w:val="2"/>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在职人数</w:t>
            </w:r>
          </w:p>
        </w:tc>
        <w:tc>
          <w:tcPr>
            <w:tcW w:w="2127" w:type="dxa"/>
            <w:gridSpan w:val="3"/>
            <w:shd w:val="clear" w:color="auto" w:fill="auto"/>
            <w:vAlign w:val="center"/>
          </w:tcPr>
          <w:p>
            <w:pPr>
              <w:spacing w:line="300" w:lineRule="exact"/>
              <w:jc w:val="center"/>
              <w:rPr>
                <w:rFonts w:hint="eastAsia" w:ascii="方正书宋_GBK" w:eastAsia="方正书宋_GBK"/>
                <w:b/>
                <w:sz w:val="24"/>
                <w:szCs w:val="24"/>
              </w:rPr>
            </w:pPr>
            <w:r>
              <w:rPr>
                <w:rFonts w:hint="eastAsia" w:ascii="方正书宋_GBK" w:eastAsia="方正书宋_GBK"/>
                <w:b/>
                <w:sz w:val="24"/>
                <w:szCs w:val="24"/>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3827" w:type="dxa"/>
            <w:vMerge w:val="continue"/>
            <w:shd w:val="clear" w:color="auto" w:fill="auto"/>
            <w:vAlign w:val="center"/>
          </w:tcPr>
          <w:p>
            <w:pPr>
              <w:spacing w:line="300" w:lineRule="exact"/>
              <w:jc w:val="left"/>
              <w:outlineLvl w:val="0"/>
              <w:rPr>
                <w:rFonts w:hint="eastAsia"/>
              </w:rPr>
            </w:pPr>
          </w:p>
        </w:tc>
        <w:tc>
          <w:tcPr>
            <w:tcW w:w="1134" w:type="dxa"/>
            <w:vMerge w:val="continue"/>
            <w:shd w:val="clear" w:color="auto" w:fill="auto"/>
            <w:vAlign w:val="center"/>
          </w:tcPr>
          <w:p>
            <w:pPr>
              <w:spacing w:line="300" w:lineRule="exact"/>
              <w:jc w:val="left"/>
              <w:outlineLvl w:val="0"/>
              <w:rPr>
                <w:rFonts w:hint="eastAsia"/>
              </w:rPr>
            </w:pPr>
          </w:p>
        </w:tc>
        <w:tc>
          <w:tcPr>
            <w:tcW w:w="1276" w:type="dxa"/>
            <w:vMerge w:val="continue"/>
            <w:shd w:val="clear" w:color="auto" w:fill="auto"/>
            <w:vAlign w:val="center"/>
          </w:tcPr>
          <w:p>
            <w:pPr>
              <w:spacing w:line="300" w:lineRule="exact"/>
              <w:jc w:val="left"/>
              <w:outlineLvl w:val="0"/>
              <w:rPr>
                <w:rFonts w:hint="eastAsia"/>
              </w:rPr>
            </w:pPr>
          </w:p>
        </w:tc>
        <w:tc>
          <w:tcPr>
            <w:tcW w:w="2353" w:type="dxa"/>
            <w:vMerge w:val="continue"/>
            <w:shd w:val="clear" w:color="auto" w:fill="auto"/>
            <w:vAlign w:val="center"/>
          </w:tcPr>
          <w:p>
            <w:pPr>
              <w:spacing w:line="300" w:lineRule="exact"/>
              <w:jc w:val="left"/>
              <w:outlineLvl w:val="0"/>
              <w:rPr>
                <w:rFonts w:hint="eastAsia"/>
              </w:rPr>
            </w:pPr>
          </w:p>
        </w:tc>
        <w:tc>
          <w:tcPr>
            <w:tcW w:w="709" w:type="dxa"/>
            <w:vMerge w:val="continue"/>
            <w:shd w:val="clear" w:color="auto" w:fill="auto"/>
            <w:vAlign w:val="center"/>
          </w:tcPr>
          <w:p>
            <w:pPr>
              <w:spacing w:line="300" w:lineRule="exact"/>
              <w:jc w:val="left"/>
              <w:outlineLvl w:val="0"/>
              <w:rPr>
                <w:rFonts w:hint="eastAsia"/>
              </w:rPr>
            </w:pP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行政</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事业</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离休</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退休</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center"/>
              <w:rPr>
                <w:rFonts w:hint="eastAsia" w:ascii="方正书宋_GBK" w:eastAsia="方正书宋_GBK"/>
                <w:b/>
              </w:rPr>
            </w:pPr>
          </w:p>
        </w:tc>
        <w:tc>
          <w:tcPr>
            <w:tcW w:w="1276" w:type="dxa"/>
            <w:shd w:val="clear" w:color="auto" w:fill="auto"/>
            <w:vAlign w:val="center"/>
          </w:tcPr>
          <w:p>
            <w:pPr>
              <w:spacing w:line="300" w:lineRule="exact"/>
              <w:jc w:val="center"/>
              <w:rPr>
                <w:rFonts w:hint="eastAsia" w:ascii="方正书宋_GBK" w:eastAsia="方正书宋_GBK"/>
                <w:b/>
              </w:rPr>
            </w:pPr>
          </w:p>
        </w:tc>
        <w:tc>
          <w:tcPr>
            <w:tcW w:w="2353" w:type="dxa"/>
            <w:shd w:val="clear" w:color="auto" w:fill="auto"/>
            <w:vAlign w:val="center"/>
          </w:tcPr>
          <w:p>
            <w:pPr>
              <w:spacing w:line="300" w:lineRule="exact"/>
              <w:jc w:val="center"/>
              <w:rPr>
                <w:rFonts w:hint="eastAsia"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lang w:eastAsia="zh-CN"/>
              </w:rPr>
            </w:pPr>
            <w:r>
              <w:rPr>
                <w:rFonts w:hint="eastAsia" w:ascii="方正书宋_GBK" w:eastAsia="方正书宋_GBK"/>
                <w:b/>
                <w:color w:val="000000" w:themeColor="text1"/>
                <w:sz w:val="21"/>
                <w:szCs w:val="21"/>
              </w:rPr>
              <w:t>3</w:t>
            </w:r>
            <w:r>
              <w:rPr>
                <w:rFonts w:hint="eastAsia" w:ascii="方正书宋_GBK" w:eastAsia="方正书宋_GBK"/>
                <w:b/>
                <w:color w:val="000000" w:themeColor="text1"/>
                <w:sz w:val="21"/>
                <w:szCs w:val="21"/>
                <w:lang w:val="en-US" w:eastAsia="zh-CN"/>
              </w:rPr>
              <w:t>3</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color w:val="000000" w:themeColor="text1"/>
                <w:sz w:val="21"/>
                <w:szCs w:val="21"/>
              </w:rPr>
              <w:t>17</w:t>
            </w:r>
          </w:p>
        </w:tc>
        <w:tc>
          <w:tcPr>
            <w:tcW w:w="709" w:type="dxa"/>
            <w:shd w:val="clear" w:color="auto" w:fill="auto"/>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color w:val="000000" w:themeColor="text1"/>
                <w:sz w:val="21"/>
                <w:szCs w:val="21"/>
                <w:lang w:val="en-US" w:eastAsia="zh-CN"/>
              </w:rPr>
              <w:t>754</w:t>
            </w:r>
          </w:p>
        </w:tc>
        <w:tc>
          <w:tcPr>
            <w:tcW w:w="70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color w:val="000000" w:themeColor="text1"/>
                <w:sz w:val="21"/>
                <w:szCs w:val="21"/>
              </w:rPr>
              <w:t>17</w:t>
            </w:r>
          </w:p>
        </w:tc>
        <w:tc>
          <w:tcPr>
            <w:tcW w:w="709" w:type="dxa"/>
            <w:shd w:val="clear" w:color="auto" w:fill="auto"/>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color w:val="000000" w:themeColor="text1"/>
                <w:sz w:val="21"/>
                <w:szCs w:val="21"/>
                <w:lang w:val="en-US" w:eastAsia="zh-CN"/>
              </w:rPr>
              <w:t>590</w:t>
            </w:r>
          </w:p>
        </w:tc>
        <w:tc>
          <w:tcPr>
            <w:tcW w:w="709" w:type="dxa"/>
            <w:shd w:val="clear" w:color="auto" w:fill="auto"/>
            <w:vAlign w:val="center"/>
          </w:tcPr>
          <w:p>
            <w:pPr>
              <w:spacing w:line="300" w:lineRule="exact"/>
              <w:jc w:val="center"/>
              <w:rPr>
                <w:rFonts w:hint="eastAsia" w:ascii="方正书宋_GBK" w:eastAsia="方正书宋_GBK"/>
                <w:b/>
                <w:lang w:eastAsia="zh-CN"/>
              </w:rPr>
            </w:pPr>
            <w:r>
              <w:rPr>
                <w:rFonts w:hint="eastAsia" w:ascii="方正书宋_GBK" w:eastAsia="方正书宋_GBK"/>
                <w:b/>
                <w:color w:val="000000" w:themeColor="text1"/>
                <w:sz w:val="21"/>
                <w:szCs w:val="21"/>
              </w:rPr>
              <w:t>1</w:t>
            </w:r>
            <w:r>
              <w:rPr>
                <w:rFonts w:hint="eastAsia" w:ascii="方正书宋_GBK" w:eastAsia="方正书宋_GBK"/>
                <w:b/>
                <w:color w:val="000000" w:themeColor="text1"/>
                <w:sz w:val="21"/>
                <w:szCs w:val="21"/>
                <w:lang w:val="en-US" w:eastAsia="zh-CN"/>
              </w:rPr>
              <w:t>1</w:t>
            </w:r>
          </w:p>
        </w:tc>
        <w:tc>
          <w:tcPr>
            <w:tcW w:w="709" w:type="dxa"/>
            <w:shd w:val="clear" w:color="auto" w:fill="auto"/>
            <w:vAlign w:val="center"/>
          </w:tcPr>
          <w:p>
            <w:pPr>
              <w:spacing w:line="300" w:lineRule="exact"/>
              <w:jc w:val="center"/>
              <w:rPr>
                <w:rFonts w:hint="eastAsia" w:ascii="方正书宋_GBK" w:eastAsia="方正书宋_GBK"/>
                <w:b/>
                <w:lang w:eastAsia="zh-CN"/>
              </w:rPr>
            </w:pPr>
            <w:r>
              <w:rPr>
                <w:rFonts w:hint="eastAsia" w:ascii="方正书宋_GBK" w:eastAsia="方正书宋_GBK"/>
                <w:b/>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color w:val="000000" w:themeColor="text1"/>
                <w:sz w:val="21"/>
                <w:szCs w:val="21"/>
              </w:rPr>
            </w:pPr>
            <w:r>
              <w:rPr>
                <w:rFonts w:hint="eastAsia" w:ascii="方正书宋_GBK" w:eastAsia="方正书宋_GBK"/>
                <w:color w:val="000000" w:themeColor="text1"/>
                <w:sz w:val="21"/>
                <w:szCs w:val="21"/>
              </w:rPr>
              <w:t>饶阳县卫生</w:t>
            </w:r>
            <w:r>
              <w:rPr>
                <w:rFonts w:hint="eastAsia" w:ascii="方正书宋_GBK" w:eastAsia="方正书宋_GBK"/>
                <w:color w:val="000000" w:themeColor="text1"/>
                <w:sz w:val="21"/>
                <w:szCs w:val="21"/>
                <w:lang w:eastAsia="zh-CN"/>
              </w:rPr>
              <w:t>健康</w:t>
            </w:r>
            <w:r>
              <w:rPr>
                <w:rFonts w:hint="eastAsia" w:ascii="方正书宋_GBK" w:eastAsia="方正书宋_GBK"/>
                <w:color w:val="000000" w:themeColor="text1"/>
                <w:sz w:val="21"/>
                <w:szCs w:val="21"/>
              </w:rPr>
              <w:t>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行政</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正科级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财政拨款</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17</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17</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1</w:t>
            </w:r>
          </w:p>
        </w:tc>
        <w:tc>
          <w:tcPr>
            <w:tcW w:w="709" w:type="dxa"/>
            <w:shd w:val="clear" w:color="auto" w:fill="auto"/>
            <w:vAlign w:val="center"/>
          </w:tcPr>
          <w:p>
            <w:pPr>
              <w:spacing w:line="300" w:lineRule="exact"/>
              <w:jc w:val="center"/>
              <w:rPr>
                <w:rFonts w:hint="eastAsia" w:ascii="方正书宋_GBK" w:eastAsia="方正书宋_GBK"/>
                <w:color w:val="000000" w:themeColor="text1"/>
                <w:sz w:val="21"/>
                <w:szCs w:val="21"/>
                <w:lang w:val="en-US" w:eastAsia="zh-CN"/>
              </w:rPr>
            </w:pPr>
            <w:r>
              <w:rPr>
                <w:rFonts w:hint="eastAsia" w:ascii="方正书宋_GBK" w:eastAsia="方正书宋_GBK"/>
                <w:color w:val="000000" w:themeColor="text1"/>
                <w:sz w:val="21"/>
                <w:szCs w:val="21"/>
                <w:lang w:val="en-US" w:eastAsia="zh-CN"/>
              </w:rPr>
              <w:t>0</w:t>
            </w:r>
          </w:p>
          <w:p>
            <w:pPr>
              <w:spacing w:line="300" w:lineRule="exact"/>
              <w:jc w:val="both"/>
              <w:rPr>
                <w:rFonts w:hint="eastAsia" w:ascii="方正书宋_GBK" w:eastAsia="方正书宋_GBK"/>
                <w:color w:val="000000" w:themeColor="text1"/>
                <w:sz w:val="21"/>
                <w:szCs w:val="21"/>
                <w:lang w:val="en-US" w:eastAsia="zh-CN"/>
              </w:rPr>
            </w:pP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color w:val="000000" w:themeColor="text1"/>
                <w:sz w:val="21"/>
                <w:szCs w:val="21"/>
              </w:rPr>
            </w:pPr>
            <w:r>
              <w:rPr>
                <w:rFonts w:hint="eastAsia" w:ascii="方正书宋_GBK" w:eastAsia="方正书宋_GBK"/>
                <w:color w:val="000000" w:themeColor="text1"/>
                <w:sz w:val="21"/>
                <w:szCs w:val="21"/>
              </w:rPr>
              <w:t>饶阳县妇幼保健院</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财政性资金定额或定项补助</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3</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eastAsia="zh-CN"/>
              </w:rPr>
            </w:pPr>
            <w:r>
              <w:rPr>
                <w:rFonts w:ascii="方正书宋_GBK" w:eastAsia="方正书宋_GBK"/>
                <w:color w:val="000000" w:themeColor="text1"/>
                <w:sz w:val="21"/>
                <w:szCs w:val="21"/>
              </w:rPr>
              <w:t>6</w:t>
            </w:r>
            <w:r>
              <w:rPr>
                <w:rFonts w:hint="eastAsia" w:ascii="方正书宋_GBK" w:eastAsia="方正书宋_GBK"/>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21</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color w:val="000000" w:themeColor="text1"/>
                <w:sz w:val="21"/>
                <w:szCs w:val="21"/>
              </w:rPr>
            </w:pPr>
            <w:r>
              <w:rPr>
                <w:rFonts w:hint="eastAsia" w:ascii="方正书宋_GBK" w:eastAsia="方正书宋_GBK"/>
                <w:color w:val="000000" w:themeColor="text1"/>
                <w:sz w:val="21"/>
                <w:szCs w:val="21"/>
              </w:rPr>
              <w:t>饶阳县疾病预防控制中心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财政性资金基本保证</w:t>
            </w: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4</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24</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13</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0</w:t>
            </w: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color w:val="000000" w:themeColor="text1"/>
                <w:sz w:val="21"/>
                <w:szCs w:val="21"/>
              </w:rPr>
            </w:pPr>
            <w:r>
              <w:rPr>
                <w:rFonts w:hint="eastAsia" w:ascii="方正书宋_GBK" w:eastAsia="方正书宋_GBK"/>
                <w:color w:val="000000" w:themeColor="text1"/>
                <w:sz w:val="21"/>
                <w:szCs w:val="21"/>
              </w:rPr>
              <w:t>饶阳县卫生计生综合监督执法局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2</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9</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color w:val="000000" w:themeColor="text1"/>
                <w:sz w:val="21"/>
                <w:szCs w:val="21"/>
              </w:rPr>
              <w:t>饶阳县人民医院</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9</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r>
              <w:rPr>
                <w:rFonts w:ascii="方正书宋_GBK" w:eastAsia="方正书宋_GBK"/>
                <w:color w:val="000000" w:themeColor="text1"/>
                <w:sz w:val="21"/>
                <w:szCs w:val="21"/>
              </w:rPr>
              <w:t>2</w:t>
            </w:r>
            <w:r>
              <w:rPr>
                <w:rFonts w:hint="eastAsia" w:ascii="方正书宋_GBK" w:eastAsia="方正书宋_GBK"/>
                <w:color w:val="000000" w:themeColor="text1"/>
                <w:sz w:val="21"/>
                <w:szCs w:val="21"/>
                <w:lang w:val="en-US" w:eastAsia="zh-CN"/>
              </w:rPr>
              <w:t>5</w:t>
            </w:r>
            <w:r>
              <w:rPr>
                <w:rFonts w:ascii="方正书宋_GBK" w:eastAsia="方正书宋_GBK"/>
                <w:color w:val="000000" w:themeColor="text1"/>
                <w:sz w:val="21"/>
                <w:szCs w:val="21"/>
              </w:rPr>
              <w:t>7</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248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3</w:t>
            </w: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000000" w:themeColor="text1"/>
                <w:sz w:val="21"/>
                <w:szCs w:val="21"/>
              </w:rPr>
              <w:t>饶阳县中医医院</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4</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90</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93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1</w:t>
            </w: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000000" w:themeColor="text1"/>
                <w:sz w:val="21"/>
                <w:szCs w:val="21"/>
              </w:rPr>
              <w:t>饶阳县乡镇卫生院</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正股级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9</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269</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163</w:t>
            </w: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6</w:t>
            </w:r>
          </w:p>
        </w:tc>
        <w:tc>
          <w:tcPr>
            <w:tcW w:w="709"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color w:val="000000" w:themeColor="text1"/>
                <w:sz w:val="21"/>
                <w:szCs w:val="21"/>
                <w:lang w:val="en-US" w:eastAsia="zh-CN"/>
              </w:rPr>
              <w:t>0</w:t>
            </w:r>
          </w:p>
        </w:tc>
        <w:tc>
          <w:tcPr>
            <w:tcW w:w="709"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27" w:type="dxa"/>
            <w:shd w:val="clear" w:color="auto" w:fill="auto"/>
            <w:vAlign w:val="center"/>
          </w:tcPr>
          <w:p>
            <w:pPr>
              <w:spacing w:line="300" w:lineRule="exact"/>
              <w:jc w:val="left"/>
              <w:rPr>
                <w:rFonts w:hint="eastAsia" w:ascii="方正书宋_GBK" w:eastAsia="方正书宋_GBK"/>
                <w:highlight w:val="red"/>
              </w:rPr>
            </w:pPr>
            <w:r>
              <w:rPr>
                <w:rFonts w:hint="eastAsia" w:ascii="方正书宋_GBK" w:eastAsia="方正书宋_GBK"/>
                <w:color w:val="000000" w:themeColor="text1"/>
                <w:sz w:val="21"/>
                <w:szCs w:val="21"/>
              </w:rPr>
              <w:t>饶阳县卫生</w:t>
            </w:r>
            <w:r>
              <w:rPr>
                <w:rFonts w:hint="eastAsia" w:ascii="方正书宋_GBK" w:eastAsia="方正书宋_GBK"/>
                <w:color w:val="000000" w:themeColor="text1"/>
                <w:sz w:val="21"/>
                <w:szCs w:val="21"/>
                <w:lang w:eastAsia="zh-CN"/>
              </w:rPr>
              <w:t>健康</w:t>
            </w:r>
            <w:r>
              <w:rPr>
                <w:rFonts w:hint="eastAsia" w:ascii="方正书宋_GBK" w:eastAsia="方正书宋_GBK"/>
                <w:color w:val="000000" w:themeColor="text1"/>
                <w:sz w:val="21"/>
                <w:szCs w:val="21"/>
              </w:rPr>
              <w:t>局事业</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事业</w:t>
            </w:r>
          </w:p>
        </w:tc>
        <w:tc>
          <w:tcPr>
            <w:tcW w:w="1276"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正科级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财政性资金基本保证</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color w:val="000000" w:themeColor="text1"/>
                <w:sz w:val="21"/>
                <w:szCs w:val="21"/>
              </w:rPr>
              <w:t>1</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54</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color w:val="000000" w:themeColor="text1"/>
                <w:sz w:val="21"/>
                <w:szCs w:val="21"/>
                <w:lang w:val="en-US" w:eastAsia="zh-CN"/>
              </w:rPr>
              <w:t>43</w:t>
            </w: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c>
          <w:tcPr>
            <w:tcW w:w="709" w:type="dxa"/>
            <w:shd w:val="clear" w:color="auto" w:fill="auto"/>
            <w:vAlign w:val="center"/>
          </w:tcPr>
          <w:p>
            <w:pPr>
              <w:spacing w:line="300" w:lineRule="exact"/>
              <w:jc w:val="center"/>
              <w:rPr>
                <w:rFonts w:hint="eastAsia" w:ascii="方正书宋_GBK" w:eastAsia="方正书宋_GBK"/>
              </w:rPr>
            </w:pPr>
          </w:p>
        </w:tc>
      </w:tr>
    </w:tbl>
    <w:p>
      <w:pPr>
        <w:spacing w:line="300" w:lineRule="exact"/>
        <w:jc w:val="left"/>
        <w:outlineLvl w:val="0"/>
        <w:rPr>
          <w:rFonts w:hint="eastAsia"/>
        </w:rPr>
        <w:sectPr>
          <w:pgSz w:w="16839" w:h="11907" w:orient="landscape"/>
          <w:pgMar w:top="1020" w:right="1361" w:bottom="1020" w:left="1361" w:header="851" w:footer="992" w:gutter="0"/>
          <w:cols w:space="425" w:num="1"/>
          <w:docGrid w:type="lines" w:linePitch="312" w:charSpace="0"/>
        </w:sectPr>
      </w:pPr>
    </w:p>
    <w:p>
      <w:pPr>
        <w:spacing w:line="360" w:lineRule="auto"/>
        <w:ind w:firstLine="640" w:firstLineChars="200"/>
        <w:rPr>
          <w:rFonts w:hint="eastAsia" w:ascii="仿宋_GB2312" w:hAnsi="仿宋"/>
          <w:szCs w:val="32"/>
          <w:lang w:eastAsia="zh-CN"/>
        </w:rPr>
      </w:pPr>
      <w:r>
        <w:rPr>
          <w:rFonts w:hint="eastAsia" w:ascii="仿宋_GB2312" w:hAnsi="仿宋"/>
          <w:szCs w:val="32"/>
        </w:rPr>
        <w:t>饶阳县</w:t>
      </w:r>
      <w:r>
        <w:rPr>
          <w:rStyle w:val="7"/>
          <w:rFonts w:hint="eastAsia" w:ascii="仿宋_GB2312" w:hAnsi="仿宋"/>
          <w:b w:val="0"/>
          <w:szCs w:val="32"/>
        </w:rPr>
        <w:t>卫生</w:t>
      </w:r>
      <w:r>
        <w:rPr>
          <w:rStyle w:val="7"/>
          <w:rFonts w:hint="eastAsia" w:ascii="仿宋_GB2312" w:hAnsi="仿宋"/>
          <w:b w:val="0"/>
          <w:szCs w:val="32"/>
          <w:lang w:eastAsia="zh-CN"/>
        </w:rPr>
        <w:t>健康</w:t>
      </w:r>
      <w:r>
        <w:rPr>
          <w:rFonts w:hint="eastAsia" w:ascii="仿宋_GB2312" w:hAnsi="仿宋"/>
          <w:szCs w:val="32"/>
        </w:rPr>
        <w:t>局是主管卫生</w:t>
      </w:r>
      <w:r>
        <w:rPr>
          <w:rFonts w:hint="eastAsia" w:ascii="仿宋_GB2312" w:hAnsi="仿宋"/>
          <w:szCs w:val="32"/>
          <w:lang w:eastAsia="zh-CN"/>
        </w:rPr>
        <w:t>健康</w:t>
      </w:r>
      <w:r>
        <w:rPr>
          <w:rFonts w:hint="eastAsia" w:ascii="仿宋_GB2312" w:hAnsi="仿宋"/>
          <w:szCs w:val="32"/>
        </w:rPr>
        <w:t>的政府工作部门。2018年度，纳入本部门决算汇编范围的独立核算单位共21个</w:t>
      </w:r>
      <w:r>
        <w:rPr>
          <w:rFonts w:hint="eastAsia" w:ascii="仿宋_GB2312" w:hAnsi="仿宋"/>
          <w:szCs w:val="32"/>
          <w:lang w:eastAsia="zh-CN"/>
        </w:rPr>
        <w:t>。</w:t>
      </w:r>
    </w:p>
    <w:p>
      <w:pPr>
        <w:spacing w:line="360" w:lineRule="auto"/>
        <w:ind w:firstLine="640" w:firstLineChars="200"/>
        <w:rPr>
          <w:rFonts w:hint="eastAsia" w:ascii="仿宋" w:hAnsi="仿宋" w:eastAsia="仿宋" w:cs="仿宋"/>
          <w:szCs w:val="32"/>
        </w:rPr>
      </w:pPr>
      <w:r>
        <w:rPr>
          <w:rFonts w:hint="eastAsia" w:ascii="仿宋_GB2312" w:hAnsi="仿宋"/>
          <w:szCs w:val="32"/>
        </w:rPr>
        <w:t>其中：</w:t>
      </w:r>
      <w:r>
        <w:rPr>
          <w:rFonts w:hint="eastAsia" w:ascii="仿宋" w:hAnsi="仿宋" w:eastAsia="仿宋" w:cs="仿宋"/>
          <w:szCs w:val="32"/>
        </w:rPr>
        <w:t>7个乡镇卫生院</w:t>
      </w:r>
      <w:r>
        <w:rPr>
          <w:rFonts w:hint="eastAsia" w:ascii="仿宋" w:hAnsi="仿宋" w:eastAsia="仿宋" w:cs="仿宋"/>
          <w:szCs w:val="32"/>
          <w:lang w:eastAsia="zh-CN"/>
        </w:rPr>
        <w:t>，包括</w:t>
      </w:r>
      <w:r>
        <w:rPr>
          <w:rFonts w:hint="eastAsia" w:ascii="仿宋" w:hAnsi="仿宋" w:eastAsia="仿宋" w:cs="仿宋"/>
          <w:szCs w:val="32"/>
        </w:rPr>
        <w:t>饶阳县五公镇中心卫生院，饶阳县留楚乡中心卫生院，饶阳县大尹村镇卫生院，饶阳县东里满乡卫生院，饶阳县大官亭镇中心卫生院，饶阳县饶阳镇卫生院，饶阳县王同岳乡卫生院；</w:t>
      </w:r>
    </w:p>
    <w:p>
      <w:pPr>
        <w:spacing w:line="360" w:lineRule="auto"/>
        <w:ind w:firstLine="640" w:firstLineChars="200"/>
        <w:rPr>
          <w:rFonts w:hint="eastAsia" w:ascii="仿宋" w:hAnsi="仿宋" w:eastAsia="仿宋" w:cs="仿宋"/>
          <w:szCs w:val="32"/>
        </w:rPr>
      </w:pPr>
      <w:r>
        <w:rPr>
          <w:rFonts w:hint="eastAsia" w:ascii="仿宋" w:hAnsi="仿宋" w:eastAsia="仿宋" w:cs="仿宋"/>
          <w:szCs w:val="32"/>
        </w:rPr>
        <w:t>8个乡镇卫生院分院</w:t>
      </w:r>
      <w:r>
        <w:rPr>
          <w:rFonts w:hint="eastAsia" w:ascii="仿宋" w:hAnsi="仿宋" w:eastAsia="仿宋" w:cs="仿宋"/>
          <w:szCs w:val="32"/>
          <w:lang w:eastAsia="zh-CN"/>
        </w:rPr>
        <w:t>，包括</w:t>
      </w:r>
      <w:r>
        <w:rPr>
          <w:rFonts w:hint="eastAsia" w:ascii="仿宋" w:hAnsi="仿宋" w:eastAsia="仿宋" w:cs="仿宋"/>
          <w:szCs w:val="32"/>
        </w:rPr>
        <w:t>饶阳县五公镇中心卫生院南善分院，饶阳县留楚乡中心卫生院合方分院，饶阳县留楚乡中心卫生院屯里分院，饶阳县大尹村镇卫生院流满分院，饶阳县东里满乡卫生院小堤分院，饶阳县大官亭镇中心卫生院寺岗分院，饶阳县饶阳镇卫生院牛村分院，饶阳县王同岳乡卫生院京堂分院。</w:t>
      </w:r>
    </w:p>
    <w:p>
      <w:pPr>
        <w:spacing w:line="360" w:lineRule="auto"/>
        <w:ind w:firstLine="640" w:firstLineChars="200"/>
        <w:rPr>
          <w:rFonts w:hint="eastAsia" w:ascii="仿宋_GB2312" w:hAnsi="仿宋"/>
          <w:szCs w:val="32"/>
        </w:rPr>
      </w:pPr>
      <w:r>
        <w:rPr>
          <w:rFonts w:hint="eastAsia" w:ascii="仿宋" w:hAnsi="仿宋" w:eastAsia="仿宋" w:cs="仿宋"/>
          <w:szCs w:val="32"/>
        </w:rPr>
        <w:t>饶阳</w:t>
      </w:r>
      <w:r>
        <w:rPr>
          <w:rFonts w:hint="eastAsia" w:ascii="仿宋_GB2312" w:hAnsi="仿宋"/>
          <w:szCs w:val="32"/>
        </w:rPr>
        <w:t>县人民医院1个、饶阳县中医医院1个，饶阳县妇幼保健院1个、饶阳县疾控中心1个，饶阳县卫生监督局1个，饶阳县卫生和计划生育局1个。</w:t>
      </w:r>
    </w:p>
    <w:p>
      <w:pPr>
        <w:spacing w:line="360" w:lineRule="auto"/>
        <w:ind w:firstLine="640" w:firstLineChars="200"/>
        <w:rPr>
          <w:rFonts w:ascii="仿宋_GB2312" w:hAnsi="仿宋"/>
          <w:szCs w:val="32"/>
        </w:rPr>
      </w:pPr>
      <w:r>
        <w:rPr>
          <w:rFonts w:hint="eastAsia" w:ascii="仿宋_GB2312" w:hAnsi="仿宋"/>
          <w:szCs w:val="32"/>
        </w:rPr>
        <w:t>县卫生</w:t>
      </w:r>
      <w:r>
        <w:rPr>
          <w:rFonts w:hint="eastAsia" w:ascii="仿宋_GB2312" w:hAnsi="仿宋"/>
          <w:szCs w:val="32"/>
          <w:lang w:eastAsia="zh-CN"/>
        </w:rPr>
        <w:t>健康</w:t>
      </w:r>
      <w:r>
        <w:rPr>
          <w:rFonts w:hint="eastAsia" w:ascii="仿宋_GB2312" w:hAnsi="仿宋"/>
          <w:szCs w:val="32"/>
        </w:rPr>
        <w:t>局内设6个科室：办公室、基层卫生与妇幼保健股、医政医管股、计划生育股、中医股、人事股。</w:t>
      </w:r>
    </w:p>
    <w:p>
      <w:pPr>
        <w:spacing w:line="360" w:lineRule="auto"/>
        <w:ind w:firstLine="640" w:firstLineChars="200"/>
        <w:rPr>
          <w:rFonts w:ascii="仿宋_GB2312" w:hAnsi="仿宋"/>
          <w:szCs w:val="32"/>
        </w:rPr>
        <w:sectPr>
          <w:pgSz w:w="11907" w:h="16839"/>
          <w:pgMar w:top="1361" w:right="1021" w:bottom="1361" w:left="1021" w:header="851" w:footer="992" w:gutter="0"/>
          <w:cols w:space="425" w:num="1"/>
          <w:docGrid w:type="lines" w:linePitch="312" w:charSpace="0"/>
        </w:sectPr>
      </w:pPr>
    </w:p>
    <w:p>
      <w:pPr>
        <w:ind w:firstLine="643" w:firstLineChars="200"/>
        <w:rPr>
          <w:rFonts w:hint="eastAsia" w:ascii="仿宋_GB2312" w:cs="Times New Roman"/>
          <w:b/>
          <w:bCs/>
        </w:rPr>
      </w:pPr>
      <w:r>
        <w:rPr>
          <w:rFonts w:hint="eastAsia" w:ascii="仿宋_GB2312"/>
          <w:b/>
          <w:bCs/>
        </w:rPr>
        <w:t>2</w:t>
      </w:r>
      <w:r>
        <w:rPr>
          <w:rFonts w:hint="eastAsia" w:ascii="仿宋_GB2312" w:cs="仿宋_GB2312"/>
          <w:b/>
          <w:bCs/>
        </w:rPr>
        <w:t>、部门预算安排的总体情况</w:t>
      </w:r>
    </w:p>
    <w:p>
      <w:pPr>
        <w:ind w:firstLine="640" w:firstLineChars="200"/>
        <w:rPr>
          <w:rFonts w:hint="eastAsia" w:ascii="仿宋_GB2312" w:cs="Times New Roman"/>
        </w:rPr>
      </w:pPr>
      <w:r>
        <w:rPr>
          <w:rFonts w:hint="eastAsia" w:ascii="仿宋_GB2312" w:cs="仿宋_GB2312"/>
        </w:rPr>
        <w:t>按照《预算法》等有关预算管理规定，我县县级部门预算实行综合预算管理，机关（及所属事业单位）的收支全部包含在部门预算中。</w:t>
      </w:r>
    </w:p>
    <w:p>
      <w:pPr>
        <w:ind w:firstLine="640" w:firstLineChars="200"/>
        <w:rPr>
          <w:rFonts w:hint="eastAsia" w:ascii="仿宋_GB2312" w:cs="Times New Roman"/>
          <w:highlight w:val="none"/>
        </w:rPr>
      </w:pPr>
      <w:r>
        <w:rPr>
          <w:rFonts w:hint="eastAsia" w:ascii="仿宋_GB2312" w:cs="仿宋_GB2312"/>
          <w:highlight w:val="none"/>
        </w:rPr>
        <w:t>（</w:t>
      </w:r>
      <w:r>
        <w:rPr>
          <w:rFonts w:hint="eastAsia" w:ascii="仿宋_GB2312"/>
          <w:highlight w:val="none"/>
        </w:rPr>
        <w:t>1</w:t>
      </w:r>
      <w:r>
        <w:rPr>
          <w:rFonts w:hint="eastAsia" w:ascii="仿宋_GB2312" w:cs="仿宋_GB2312"/>
          <w:highlight w:val="none"/>
        </w:rPr>
        <w:t>）收入说明</w:t>
      </w:r>
    </w:p>
    <w:p>
      <w:pPr>
        <w:ind w:firstLine="640" w:firstLineChars="200"/>
        <w:rPr>
          <w:rFonts w:hint="eastAsia" w:ascii="仿宋_GB2312" w:hAnsi="仿宋" w:eastAsia="仿宋_GB2312"/>
          <w:highlight w:val="none"/>
          <w:lang w:eastAsia="zh-CN"/>
        </w:rPr>
      </w:pPr>
      <w:r>
        <w:rPr>
          <w:rFonts w:hint="eastAsia" w:ascii="仿宋_GB2312" w:cs="仿宋_GB2312"/>
          <w:highlight w:val="none"/>
        </w:rPr>
        <w:t>反映本部门当年收入。</w:t>
      </w:r>
      <w:r>
        <w:rPr>
          <w:rFonts w:hint="eastAsia" w:ascii="仿宋_GB2312"/>
          <w:highlight w:val="none"/>
        </w:rPr>
        <w:t>201</w:t>
      </w:r>
      <w:r>
        <w:rPr>
          <w:rFonts w:hint="eastAsia" w:ascii="仿宋_GB2312"/>
          <w:highlight w:val="none"/>
          <w:lang w:val="en-US" w:eastAsia="zh-CN"/>
        </w:rPr>
        <w:t>9</w:t>
      </w:r>
      <w:r>
        <w:rPr>
          <w:rFonts w:hint="eastAsia" w:ascii="仿宋_GB2312" w:cs="仿宋_GB2312"/>
          <w:highlight w:val="none"/>
        </w:rPr>
        <w:t>年预算收入</w:t>
      </w:r>
      <w:r>
        <w:rPr>
          <w:rFonts w:hint="eastAsia" w:ascii="仿宋_GB2312" w:cs="方正书宋_GBK"/>
          <w:highlight w:val="none"/>
          <w:lang w:val="en-US" w:eastAsia="zh-CN"/>
        </w:rPr>
        <w:t>6623.21</w:t>
      </w:r>
      <w:r>
        <w:rPr>
          <w:rFonts w:hint="eastAsia" w:ascii="仿宋_GB2312" w:cs="仿宋_GB2312"/>
          <w:highlight w:val="none"/>
        </w:rPr>
        <w:t>万元，其中：一般公共预算收入</w:t>
      </w:r>
      <w:r>
        <w:rPr>
          <w:rFonts w:hint="eastAsia" w:ascii="仿宋_GB2312" w:cs="方正书宋_GBK"/>
          <w:highlight w:val="none"/>
          <w:lang w:val="en-US" w:eastAsia="zh-CN"/>
        </w:rPr>
        <w:t>6623.21</w:t>
      </w:r>
      <w:r>
        <w:rPr>
          <w:rFonts w:hint="eastAsia" w:ascii="仿宋_GB2312" w:cs="仿宋_GB2312"/>
          <w:highlight w:val="none"/>
        </w:rPr>
        <w:t>万元，政府性基金预算收入</w:t>
      </w:r>
      <w:r>
        <w:rPr>
          <w:rFonts w:hint="eastAsia" w:ascii="仿宋_GB2312"/>
          <w:highlight w:val="none"/>
        </w:rPr>
        <w:t>0</w:t>
      </w:r>
      <w:r>
        <w:rPr>
          <w:rFonts w:hint="eastAsia" w:ascii="仿宋_GB2312" w:cs="仿宋_GB2312"/>
          <w:highlight w:val="none"/>
        </w:rPr>
        <w:t>万元，财政专户收入</w:t>
      </w:r>
      <w:r>
        <w:rPr>
          <w:rFonts w:hint="eastAsia" w:ascii="仿宋_GB2312"/>
          <w:highlight w:val="none"/>
        </w:rPr>
        <w:t>0</w:t>
      </w:r>
      <w:r>
        <w:rPr>
          <w:rFonts w:hint="eastAsia" w:ascii="仿宋_GB2312" w:cs="仿宋_GB2312"/>
          <w:highlight w:val="none"/>
        </w:rPr>
        <w:t>万元，事业收入</w:t>
      </w:r>
      <w:r>
        <w:rPr>
          <w:rFonts w:hint="eastAsia" w:ascii="仿宋_GB2312"/>
          <w:highlight w:val="none"/>
        </w:rPr>
        <w:t>0</w:t>
      </w:r>
      <w:r>
        <w:rPr>
          <w:rFonts w:hint="eastAsia" w:ascii="仿宋_GB2312" w:cs="仿宋_GB2312"/>
          <w:highlight w:val="none"/>
        </w:rPr>
        <w:t>万元，其他收入</w:t>
      </w:r>
      <w:r>
        <w:rPr>
          <w:rFonts w:hint="eastAsia" w:ascii="仿宋_GB2312"/>
          <w:highlight w:val="none"/>
        </w:rPr>
        <w:t>0</w:t>
      </w:r>
      <w:r>
        <w:rPr>
          <w:rFonts w:hint="eastAsia" w:ascii="仿宋_GB2312" w:cs="仿宋_GB2312"/>
          <w:highlight w:val="none"/>
        </w:rPr>
        <w:t>万元。</w:t>
      </w:r>
      <w:r>
        <w:rPr>
          <w:rFonts w:hint="eastAsia" w:ascii="仿宋_GB2312"/>
          <w:highlight w:val="none"/>
        </w:rPr>
        <w:t>201</w:t>
      </w:r>
      <w:r>
        <w:rPr>
          <w:rFonts w:hint="eastAsia" w:ascii="仿宋_GB2312"/>
          <w:highlight w:val="none"/>
          <w:lang w:val="en-US" w:eastAsia="zh-CN"/>
        </w:rPr>
        <w:t>8</w:t>
      </w:r>
      <w:r>
        <w:rPr>
          <w:rFonts w:hint="eastAsia" w:ascii="仿宋_GB2312" w:cs="仿宋_GB2312"/>
          <w:highlight w:val="none"/>
        </w:rPr>
        <w:t>年预算收入</w:t>
      </w:r>
      <w:r>
        <w:rPr>
          <w:rFonts w:hint="eastAsia"/>
          <w:highlight w:val="none"/>
        </w:rPr>
        <w:t>6047.63</w:t>
      </w:r>
      <w:r>
        <w:rPr>
          <w:rFonts w:hint="eastAsia" w:ascii="仿宋_GB2312" w:cs="仿宋_GB2312"/>
          <w:highlight w:val="none"/>
        </w:rPr>
        <w:t>万元，其中：一般公共预算收入</w:t>
      </w:r>
      <w:r>
        <w:rPr>
          <w:rFonts w:hint="eastAsia"/>
          <w:highlight w:val="none"/>
        </w:rPr>
        <w:t>5852.27</w:t>
      </w:r>
      <w:r>
        <w:rPr>
          <w:rFonts w:hint="eastAsia" w:ascii="仿宋_GB2312" w:cs="仿宋_GB2312"/>
          <w:highlight w:val="none"/>
        </w:rPr>
        <w:t>万元，政府性基金预算收入</w:t>
      </w:r>
      <w:r>
        <w:rPr>
          <w:rFonts w:hint="eastAsia"/>
          <w:highlight w:val="none"/>
        </w:rPr>
        <w:t>195.36</w:t>
      </w:r>
      <w:r>
        <w:rPr>
          <w:rFonts w:hint="eastAsia" w:ascii="仿宋_GB2312" w:cs="仿宋_GB2312"/>
          <w:highlight w:val="none"/>
        </w:rPr>
        <w:t>万元</w:t>
      </w:r>
      <w:r>
        <w:rPr>
          <w:rFonts w:hint="eastAsia" w:ascii="仿宋_GB2312" w:cs="仿宋_GB2312"/>
          <w:highlight w:val="none"/>
          <w:lang w:eastAsia="zh-CN"/>
        </w:rPr>
        <w:t>。</w:t>
      </w:r>
      <w:r>
        <w:rPr>
          <w:rFonts w:hint="eastAsia" w:ascii="仿宋_GB2312" w:cs="仿宋_GB2312"/>
          <w:highlight w:val="none"/>
        </w:rPr>
        <w:t>201</w:t>
      </w:r>
      <w:r>
        <w:rPr>
          <w:rFonts w:hint="eastAsia" w:ascii="仿宋_GB2312" w:cs="仿宋_GB2312"/>
          <w:highlight w:val="none"/>
          <w:lang w:val="en-US" w:eastAsia="zh-CN"/>
        </w:rPr>
        <w:t>9</w:t>
      </w:r>
      <w:r>
        <w:rPr>
          <w:rFonts w:hint="eastAsia" w:ascii="仿宋_GB2312" w:cs="仿宋_GB2312"/>
          <w:highlight w:val="none"/>
        </w:rPr>
        <w:t>年比201</w:t>
      </w:r>
      <w:r>
        <w:rPr>
          <w:rFonts w:hint="eastAsia" w:ascii="仿宋_GB2312" w:cs="仿宋_GB2312"/>
          <w:highlight w:val="none"/>
          <w:lang w:val="en-US" w:eastAsia="zh-CN"/>
        </w:rPr>
        <w:t>8</w:t>
      </w:r>
      <w:r>
        <w:rPr>
          <w:rFonts w:hint="eastAsia" w:ascii="仿宋_GB2312" w:cs="仿宋_GB2312"/>
          <w:highlight w:val="none"/>
        </w:rPr>
        <w:t>年增加</w:t>
      </w:r>
      <w:r>
        <w:rPr>
          <w:rFonts w:hint="eastAsia" w:ascii="仿宋_GB2312" w:cs="仿宋_GB2312"/>
          <w:highlight w:val="none"/>
          <w:lang w:val="en-US" w:eastAsia="zh-CN"/>
        </w:rPr>
        <w:t>575.58</w:t>
      </w:r>
      <w:r>
        <w:rPr>
          <w:rFonts w:hint="eastAsia" w:ascii="仿宋_GB2312" w:cs="仿宋_GB2312"/>
          <w:highlight w:val="none"/>
        </w:rPr>
        <w:t>万元，增加</w:t>
      </w:r>
      <w:r>
        <w:rPr>
          <w:rFonts w:hint="eastAsia" w:ascii="仿宋_GB2312" w:cs="仿宋_GB2312"/>
          <w:highlight w:val="none"/>
          <w:lang w:val="en-US" w:eastAsia="zh-CN"/>
        </w:rPr>
        <w:t>9.5</w:t>
      </w:r>
      <w:r>
        <w:rPr>
          <w:rFonts w:hint="eastAsia" w:ascii="仿宋_GB2312" w:cs="仿宋_GB2312"/>
          <w:highlight w:val="none"/>
        </w:rPr>
        <w:t>%，</w:t>
      </w:r>
      <w:r>
        <w:rPr>
          <w:rFonts w:hint="eastAsia" w:ascii="仿宋_GB2312" w:hAnsi="仿宋" w:cs="宋体"/>
          <w:color w:val="000000"/>
          <w:highlight w:val="none"/>
        </w:rPr>
        <w:t>主要</w:t>
      </w:r>
      <w:r>
        <w:rPr>
          <w:rFonts w:hint="eastAsia" w:ascii="仿宋_GB2312" w:hAnsi="仿宋"/>
          <w:highlight w:val="none"/>
        </w:rPr>
        <w:t>原因是人员工资增长</w:t>
      </w:r>
      <w:r>
        <w:rPr>
          <w:rFonts w:hint="eastAsia" w:ascii="仿宋_GB2312" w:hAnsi="仿宋"/>
          <w:highlight w:val="none"/>
          <w:lang w:eastAsia="zh-CN"/>
        </w:rPr>
        <w:t>。</w:t>
      </w:r>
    </w:p>
    <w:p>
      <w:pPr>
        <w:ind w:firstLine="640" w:firstLineChars="200"/>
        <w:rPr>
          <w:rFonts w:hint="eastAsia" w:ascii="仿宋_GB2312" w:cs="Times New Roman"/>
          <w:highlight w:val="none"/>
        </w:rPr>
      </w:pPr>
      <w:r>
        <w:rPr>
          <w:rFonts w:hint="eastAsia" w:ascii="仿宋_GB2312" w:cs="仿宋_GB2312"/>
          <w:highlight w:val="none"/>
        </w:rPr>
        <w:t>（</w:t>
      </w:r>
      <w:r>
        <w:rPr>
          <w:rFonts w:hint="eastAsia" w:ascii="仿宋_GB2312"/>
          <w:highlight w:val="none"/>
        </w:rPr>
        <w:t>2</w:t>
      </w:r>
      <w:r>
        <w:rPr>
          <w:rFonts w:hint="eastAsia" w:ascii="仿宋_GB2312" w:cs="仿宋_GB2312"/>
          <w:highlight w:val="none"/>
        </w:rPr>
        <w:t>）支出说明</w:t>
      </w:r>
    </w:p>
    <w:p>
      <w:pPr>
        <w:ind w:firstLine="640" w:firstLineChars="200"/>
        <w:rPr>
          <w:color w:val="0070C0"/>
          <w:highlight w:val="none"/>
        </w:rPr>
      </w:pPr>
      <w:r>
        <w:rPr>
          <w:rFonts w:hint="eastAsia" w:ascii="仿宋_GB2312" w:cs="仿宋_GB2312"/>
        </w:rPr>
        <w:t>收支预算总</w:t>
      </w:r>
      <w:r>
        <w:rPr>
          <w:rFonts w:hint="eastAsia" w:ascii="仿宋_GB2312" w:cs="仿宋_GB2312"/>
          <w:highlight w:val="none"/>
        </w:rPr>
        <w:t>表支出栏、基本支出表、项目支出表按经济分类和功能分类科目编制，反映饶阳县</w:t>
      </w:r>
      <w:r>
        <w:rPr>
          <w:rFonts w:hint="eastAsia" w:ascii="仿宋_GB2312" w:hAnsi="楷体" w:cs="楷体"/>
          <w:bCs/>
          <w:highlight w:val="none"/>
          <w:lang w:eastAsia="zh-CN"/>
        </w:rPr>
        <w:t>卫生健康局</w:t>
      </w:r>
      <w:r>
        <w:rPr>
          <w:rFonts w:hint="eastAsia" w:ascii="仿宋_GB2312" w:cs="仿宋_GB2312"/>
          <w:highlight w:val="none"/>
        </w:rPr>
        <w:t>年度部门预算中支出的总体情况。201</w:t>
      </w:r>
      <w:r>
        <w:rPr>
          <w:rFonts w:hint="eastAsia" w:ascii="仿宋_GB2312" w:cs="仿宋_GB2312"/>
          <w:highlight w:val="none"/>
          <w:lang w:val="en-US" w:eastAsia="zh-CN"/>
        </w:rPr>
        <w:t>9</w:t>
      </w:r>
      <w:r>
        <w:rPr>
          <w:rFonts w:hint="eastAsia" w:ascii="仿宋_GB2312" w:cs="仿宋_GB2312"/>
          <w:highlight w:val="none"/>
        </w:rPr>
        <w:t>年部门预算支出</w:t>
      </w:r>
      <w:r>
        <w:rPr>
          <w:rFonts w:hint="eastAsia" w:ascii="仿宋_GB2312" w:cs="方正书宋_GBK"/>
          <w:highlight w:val="none"/>
          <w:lang w:val="en-US" w:eastAsia="zh-CN"/>
        </w:rPr>
        <w:t>6623.21</w:t>
      </w:r>
      <w:r>
        <w:rPr>
          <w:rFonts w:hint="eastAsia" w:ascii="仿宋_GB2312" w:cs="仿宋_GB2312"/>
          <w:highlight w:val="none"/>
        </w:rPr>
        <w:t>万元，其中，基本支出</w:t>
      </w:r>
      <w:r>
        <w:rPr>
          <w:rFonts w:hint="eastAsia" w:ascii="仿宋_GB2312" w:cs="方正书宋_GBK"/>
          <w:highlight w:val="none"/>
          <w:lang w:val="en-US" w:eastAsia="zh-CN"/>
        </w:rPr>
        <w:t>2109.86</w:t>
      </w:r>
      <w:r>
        <w:rPr>
          <w:rFonts w:hint="eastAsia" w:ascii="仿宋_GB2312" w:cs="仿宋_GB2312"/>
          <w:highlight w:val="none"/>
        </w:rPr>
        <w:t>万元，包括人员经费</w:t>
      </w:r>
      <w:r>
        <w:rPr>
          <w:rFonts w:hint="eastAsia" w:ascii="仿宋_GB2312" w:cs="仿宋_GB2312"/>
          <w:highlight w:val="none"/>
          <w:lang w:val="en-US" w:eastAsia="zh-CN"/>
        </w:rPr>
        <w:t>2050.96</w:t>
      </w:r>
      <w:r>
        <w:rPr>
          <w:rFonts w:hint="eastAsia" w:ascii="仿宋_GB2312" w:cs="仿宋_GB2312"/>
          <w:highlight w:val="none"/>
        </w:rPr>
        <w:t>万元与公用经费</w:t>
      </w:r>
      <w:r>
        <w:rPr>
          <w:rFonts w:hint="eastAsia" w:ascii="仿宋_GB2312" w:cs="仿宋_GB2312"/>
          <w:highlight w:val="none"/>
          <w:lang w:val="en-US" w:eastAsia="zh-CN"/>
        </w:rPr>
        <w:t>58.9</w:t>
      </w:r>
      <w:r>
        <w:rPr>
          <w:rFonts w:hint="eastAsia" w:ascii="仿宋_GB2312" w:cs="仿宋_GB2312"/>
          <w:highlight w:val="none"/>
        </w:rPr>
        <w:t>万元；项目支出</w:t>
      </w:r>
      <w:r>
        <w:rPr>
          <w:rFonts w:hint="eastAsia" w:ascii="仿宋_GB2312" w:cs="方正书宋_GBK"/>
          <w:highlight w:val="none"/>
          <w:lang w:val="en-US" w:eastAsia="zh-CN"/>
        </w:rPr>
        <w:t>4513.35</w:t>
      </w:r>
      <w:r>
        <w:rPr>
          <w:rFonts w:hint="eastAsia" w:ascii="仿宋_GB2312" w:cs="仿宋_GB2312"/>
          <w:highlight w:val="none"/>
        </w:rPr>
        <w:t>万元，</w:t>
      </w:r>
      <w:r>
        <w:rPr>
          <w:rFonts w:hint="eastAsia"/>
          <w:highlight w:val="none"/>
        </w:rPr>
        <w:t>主要是公共卫生支出</w:t>
      </w:r>
      <w:r>
        <w:rPr>
          <w:rFonts w:hint="eastAsia"/>
          <w:highlight w:val="none"/>
          <w:lang w:val="en-US" w:eastAsia="zh-CN"/>
        </w:rPr>
        <w:t>2018.61</w:t>
      </w:r>
      <w:r>
        <w:rPr>
          <w:rFonts w:hint="eastAsia"/>
          <w:highlight w:val="none"/>
        </w:rPr>
        <w:t>万元，</w:t>
      </w:r>
      <w:r>
        <w:rPr>
          <w:rFonts w:hint="eastAsia"/>
          <w:highlight w:val="none"/>
          <w:lang w:eastAsia="zh-CN"/>
        </w:rPr>
        <w:t>卫生健康管理事务</w:t>
      </w:r>
      <w:r>
        <w:rPr>
          <w:rFonts w:hint="eastAsia"/>
          <w:highlight w:val="none"/>
        </w:rPr>
        <w:t>支出</w:t>
      </w:r>
      <w:r>
        <w:rPr>
          <w:rFonts w:hint="eastAsia"/>
          <w:highlight w:val="none"/>
          <w:lang w:val="en-US" w:eastAsia="zh-CN"/>
        </w:rPr>
        <w:t>12.22</w:t>
      </w:r>
      <w:r>
        <w:rPr>
          <w:rFonts w:hint="eastAsia"/>
          <w:highlight w:val="none"/>
        </w:rPr>
        <w:t>万元，公立医院支出</w:t>
      </w:r>
      <w:r>
        <w:rPr>
          <w:rFonts w:hint="eastAsia"/>
          <w:highlight w:val="none"/>
          <w:lang w:val="en-US" w:eastAsia="zh-CN"/>
        </w:rPr>
        <w:t>579.19</w:t>
      </w:r>
      <w:r>
        <w:rPr>
          <w:rFonts w:hint="eastAsia"/>
          <w:highlight w:val="none"/>
        </w:rPr>
        <w:t>万元，基层医疗机构支出</w:t>
      </w:r>
      <w:r>
        <w:rPr>
          <w:rFonts w:hint="eastAsia"/>
          <w:highlight w:val="none"/>
          <w:lang w:val="en-US" w:eastAsia="zh-CN"/>
        </w:rPr>
        <w:t>1285.48</w:t>
      </w:r>
      <w:r>
        <w:rPr>
          <w:rFonts w:hint="eastAsia"/>
          <w:highlight w:val="none"/>
        </w:rPr>
        <w:t>万元，计划生育家庭支出</w:t>
      </w:r>
      <w:r>
        <w:rPr>
          <w:rFonts w:hint="eastAsia"/>
          <w:highlight w:val="none"/>
          <w:lang w:val="en-US" w:eastAsia="zh-CN"/>
        </w:rPr>
        <w:t>617.85</w:t>
      </w:r>
      <w:r>
        <w:rPr>
          <w:rFonts w:hint="eastAsia"/>
          <w:highlight w:val="none"/>
        </w:rPr>
        <w:t>万元，其他支出</w:t>
      </w:r>
      <w:r>
        <w:rPr>
          <w:highlight w:val="none"/>
        </w:rPr>
        <w:t>0</w:t>
      </w:r>
      <w:r>
        <w:rPr>
          <w:rFonts w:hint="eastAsia"/>
          <w:highlight w:val="none"/>
        </w:rPr>
        <w:t>万元。</w:t>
      </w:r>
    </w:p>
    <w:p>
      <w:pPr>
        <w:ind w:firstLine="640" w:firstLineChars="200"/>
        <w:rPr>
          <w:rFonts w:hint="eastAsia" w:ascii="仿宋_GB2312" w:cs="Times New Roman"/>
          <w:highlight w:val="none"/>
        </w:rPr>
      </w:pPr>
      <w:r>
        <w:rPr>
          <w:rFonts w:hint="eastAsia" w:ascii="仿宋_GB2312" w:cs="仿宋_GB2312"/>
          <w:highlight w:val="none"/>
        </w:rPr>
        <w:t>（</w:t>
      </w:r>
      <w:r>
        <w:rPr>
          <w:rFonts w:hint="eastAsia" w:ascii="仿宋_GB2312"/>
          <w:highlight w:val="none"/>
        </w:rPr>
        <w:t>3</w:t>
      </w:r>
      <w:r>
        <w:rPr>
          <w:rFonts w:hint="eastAsia" w:ascii="仿宋_GB2312" w:cs="仿宋_GB2312"/>
          <w:highlight w:val="none"/>
        </w:rPr>
        <w:t>）比上年增减情况</w:t>
      </w:r>
    </w:p>
    <w:p>
      <w:pPr>
        <w:ind w:firstLine="640" w:firstLineChars="200"/>
        <w:rPr>
          <w:rFonts w:hint="eastAsia" w:ascii="仿宋_GB2312" w:cs="Times New Roman"/>
          <w:highlight w:val="none"/>
        </w:rPr>
      </w:pPr>
      <w:r>
        <w:rPr>
          <w:rFonts w:hint="eastAsia" w:ascii="仿宋_GB2312"/>
          <w:highlight w:val="none"/>
        </w:rPr>
        <w:t>201</w:t>
      </w:r>
      <w:r>
        <w:rPr>
          <w:rFonts w:hint="eastAsia" w:ascii="仿宋_GB2312"/>
          <w:highlight w:val="none"/>
          <w:lang w:val="en-US" w:eastAsia="zh-CN"/>
        </w:rPr>
        <w:t>9</w:t>
      </w:r>
      <w:r>
        <w:rPr>
          <w:rFonts w:hint="eastAsia" w:ascii="仿宋_GB2312"/>
          <w:highlight w:val="none"/>
        </w:rPr>
        <w:t>年，部门预算收支安排</w:t>
      </w:r>
      <w:r>
        <w:rPr>
          <w:rFonts w:hint="eastAsia"/>
          <w:highlight w:val="none"/>
          <w:lang w:val="en-US" w:eastAsia="zh-CN"/>
        </w:rPr>
        <w:t>6623.21</w:t>
      </w:r>
      <w:r>
        <w:rPr>
          <w:rFonts w:hint="eastAsia" w:ascii="仿宋_GB2312"/>
          <w:highlight w:val="none"/>
        </w:rPr>
        <w:t>万元，</w:t>
      </w:r>
      <w:r>
        <w:rPr>
          <w:rFonts w:hint="eastAsia" w:ascii="仿宋_GB2312" w:cs="仿宋_GB2312"/>
          <w:highlight w:val="none"/>
        </w:rPr>
        <w:t>较</w:t>
      </w:r>
      <w:r>
        <w:rPr>
          <w:rFonts w:hint="eastAsia" w:ascii="仿宋_GB2312"/>
          <w:highlight w:val="none"/>
        </w:rPr>
        <w:t>201</w:t>
      </w:r>
      <w:r>
        <w:rPr>
          <w:rFonts w:hint="eastAsia" w:ascii="仿宋_GB2312"/>
          <w:highlight w:val="none"/>
          <w:lang w:val="en-US" w:eastAsia="zh-CN"/>
        </w:rPr>
        <w:t>8</w:t>
      </w:r>
      <w:r>
        <w:rPr>
          <w:rFonts w:hint="eastAsia" w:ascii="仿宋_GB2312" w:cs="仿宋_GB2312"/>
          <w:highlight w:val="none"/>
        </w:rPr>
        <w:t>年增长</w:t>
      </w:r>
      <w:r>
        <w:rPr>
          <w:rFonts w:hint="eastAsia" w:ascii="仿宋_GB2312" w:cs="仿宋_GB2312"/>
          <w:highlight w:val="none"/>
          <w:lang w:val="en-US" w:eastAsia="zh-CN"/>
        </w:rPr>
        <w:t>575.58</w:t>
      </w:r>
      <w:r>
        <w:rPr>
          <w:rFonts w:hint="eastAsia" w:ascii="仿宋_GB2312"/>
          <w:highlight w:val="none"/>
        </w:rPr>
        <w:t>万元，增长</w:t>
      </w:r>
      <w:r>
        <w:rPr>
          <w:rFonts w:hint="eastAsia" w:ascii="仿宋_GB2312"/>
          <w:highlight w:val="none"/>
          <w:lang w:val="en-US" w:eastAsia="zh-CN"/>
        </w:rPr>
        <w:t>9.5</w:t>
      </w:r>
      <w:r>
        <w:rPr>
          <w:rFonts w:hint="eastAsia" w:ascii="仿宋_GB2312"/>
          <w:highlight w:val="none"/>
        </w:rPr>
        <w:t>%，其中：基本支出</w:t>
      </w:r>
      <w:r>
        <w:rPr>
          <w:rFonts w:hint="eastAsia" w:ascii="仿宋_GB2312"/>
          <w:highlight w:val="none"/>
          <w:lang w:eastAsia="zh-CN"/>
        </w:rPr>
        <w:t>减少</w:t>
      </w:r>
      <w:r>
        <w:rPr>
          <w:rFonts w:hint="eastAsia" w:ascii="仿宋_GB2312"/>
          <w:highlight w:val="none"/>
          <w:lang w:val="en-US" w:eastAsia="zh-CN"/>
        </w:rPr>
        <w:t>230.46</w:t>
      </w:r>
      <w:r>
        <w:rPr>
          <w:rFonts w:hint="eastAsia" w:ascii="仿宋_GB2312"/>
          <w:highlight w:val="none"/>
        </w:rPr>
        <w:t>万元，主要是由于</w:t>
      </w:r>
      <w:r>
        <w:rPr>
          <w:rFonts w:hint="eastAsia" w:ascii="仿宋_GB2312"/>
          <w:highlight w:val="none"/>
          <w:lang w:eastAsia="zh-CN"/>
        </w:rPr>
        <w:t>乡镇卫生院的人员经费支出</w:t>
      </w:r>
      <w:r>
        <w:rPr>
          <w:rFonts w:hint="eastAsia" w:ascii="仿宋_GB2312"/>
          <w:highlight w:val="none"/>
          <w:lang w:val="en-US" w:eastAsia="zh-CN"/>
        </w:rPr>
        <w:t xml:space="preserve"> 2019年列入项目支出</w:t>
      </w:r>
      <w:r>
        <w:rPr>
          <w:rFonts w:hint="eastAsia" w:ascii="仿宋_GB2312"/>
          <w:highlight w:val="none"/>
        </w:rPr>
        <w:t>，项目支出增长</w:t>
      </w:r>
      <w:r>
        <w:rPr>
          <w:rFonts w:hint="eastAsia" w:ascii="仿宋_GB2312"/>
          <w:highlight w:val="none"/>
          <w:lang w:val="en-US" w:eastAsia="zh-CN"/>
        </w:rPr>
        <w:t>806.03</w:t>
      </w:r>
      <w:r>
        <w:rPr>
          <w:rFonts w:hint="eastAsia" w:ascii="仿宋_GB2312"/>
        </w:rPr>
        <w:t>万元，主</w:t>
      </w:r>
      <w:r>
        <w:rPr>
          <w:rFonts w:hint="eastAsia" w:ascii="仿宋_GB2312"/>
          <w:highlight w:val="none"/>
        </w:rPr>
        <w:t>要是由于</w:t>
      </w:r>
      <w:r>
        <w:rPr>
          <w:rFonts w:hint="eastAsia" w:ascii="仿宋_GB2312"/>
          <w:highlight w:val="none"/>
          <w:lang w:eastAsia="zh-CN"/>
        </w:rPr>
        <w:t>乡镇卫生院的人员经费支出</w:t>
      </w:r>
      <w:r>
        <w:rPr>
          <w:rFonts w:hint="eastAsia" w:ascii="仿宋_GB2312"/>
          <w:highlight w:val="none"/>
          <w:lang w:val="en-US" w:eastAsia="zh-CN"/>
        </w:rPr>
        <w:t xml:space="preserve"> 2019年列入项目支出</w:t>
      </w:r>
      <w:r>
        <w:rPr>
          <w:rFonts w:hint="eastAsia" w:ascii="仿宋_GB2312"/>
          <w:highlight w:val="none"/>
        </w:rPr>
        <w:t>。</w:t>
      </w:r>
    </w:p>
    <w:p>
      <w:pPr>
        <w:ind w:firstLine="643" w:firstLineChars="200"/>
        <w:rPr>
          <w:rFonts w:hint="eastAsia" w:ascii="仿宋_GB2312" w:cs="Times New Roman"/>
          <w:b/>
          <w:bCs/>
          <w:highlight w:val="none"/>
        </w:rPr>
      </w:pPr>
      <w:r>
        <w:rPr>
          <w:rFonts w:hint="eastAsia" w:ascii="仿宋_GB2312"/>
          <w:b/>
          <w:bCs/>
          <w:highlight w:val="none"/>
        </w:rPr>
        <w:t>3</w:t>
      </w:r>
      <w:r>
        <w:rPr>
          <w:rFonts w:hint="eastAsia" w:ascii="仿宋_GB2312" w:cs="仿宋_GB2312"/>
          <w:b/>
          <w:bCs/>
          <w:highlight w:val="none"/>
        </w:rPr>
        <w:t>、机关运行经费安排情况</w:t>
      </w:r>
    </w:p>
    <w:p>
      <w:pPr>
        <w:autoSpaceDE w:val="0"/>
        <w:autoSpaceDN w:val="0"/>
        <w:adjustRightInd w:val="0"/>
        <w:ind w:left="198" w:firstLine="640" w:firstLineChars="200"/>
        <w:jc w:val="left"/>
        <w:rPr>
          <w:rFonts w:ascii="Times New Roman" w:hAnsi="Times New Roman" w:eastAsia="仿宋"/>
          <w:szCs w:val="32"/>
        </w:rPr>
      </w:pPr>
      <w:r>
        <w:rPr>
          <w:rFonts w:hint="eastAsia" w:ascii="仿宋_GB2312" w:cs="仿宋_GB2312"/>
          <w:highlight w:val="none"/>
        </w:rPr>
        <w:t>机关运行经费共计安排</w:t>
      </w:r>
      <w:r>
        <w:rPr>
          <w:rFonts w:hint="eastAsia" w:ascii="仿宋_GB2312"/>
          <w:highlight w:val="none"/>
          <w:lang w:val="en-US" w:eastAsia="zh-CN"/>
        </w:rPr>
        <w:t>58.9</w:t>
      </w:r>
      <w:r>
        <w:rPr>
          <w:rFonts w:hint="eastAsia" w:ascii="仿宋_GB2312"/>
          <w:highlight w:val="none"/>
        </w:rPr>
        <w:t>万元，主要用于</w:t>
      </w:r>
      <w:r>
        <w:rPr>
          <w:rFonts w:hint="eastAsia" w:ascii="Times New Roman" w:hAnsi="Times New Roman" w:eastAsia="仿宋"/>
          <w:szCs w:val="32"/>
          <w:highlight w:val="none"/>
        </w:rPr>
        <w:t>主要用于保证机关正常运转的办公费</w:t>
      </w:r>
      <w:r>
        <w:rPr>
          <w:rFonts w:hint="eastAsia" w:ascii="Times New Roman" w:hAnsi="Times New Roman" w:eastAsia="仿宋"/>
          <w:szCs w:val="32"/>
          <w:highlight w:val="none"/>
          <w:lang w:val="en-US" w:eastAsia="zh-CN"/>
        </w:rPr>
        <w:t>9.81</w:t>
      </w:r>
      <w:r>
        <w:rPr>
          <w:rFonts w:hint="eastAsia" w:ascii="Times New Roman" w:hAnsi="Times New Roman" w:eastAsia="仿宋"/>
          <w:szCs w:val="32"/>
          <w:highlight w:val="none"/>
        </w:rPr>
        <w:t>万元、</w:t>
      </w:r>
      <w:r>
        <w:rPr>
          <w:rFonts w:hint="eastAsia" w:ascii="Times New Roman" w:hAnsi="Times New Roman" w:eastAsia="仿宋"/>
          <w:szCs w:val="32"/>
          <w:highlight w:val="none"/>
          <w:lang w:eastAsia="zh-CN"/>
        </w:rPr>
        <w:t>水费</w:t>
      </w:r>
      <w:r>
        <w:rPr>
          <w:rFonts w:hint="eastAsia" w:ascii="Times New Roman" w:hAnsi="Times New Roman" w:eastAsia="仿宋"/>
          <w:szCs w:val="32"/>
          <w:highlight w:val="none"/>
          <w:lang w:val="en-US" w:eastAsia="zh-CN"/>
        </w:rPr>
        <w:t>0.25、</w:t>
      </w:r>
      <w:r>
        <w:rPr>
          <w:rFonts w:hint="eastAsia" w:ascii="Times New Roman" w:hAnsi="Times New Roman" w:eastAsia="仿宋"/>
          <w:szCs w:val="32"/>
          <w:highlight w:val="none"/>
        </w:rPr>
        <w:t>邮电费</w:t>
      </w:r>
      <w:r>
        <w:rPr>
          <w:rFonts w:hint="eastAsia" w:ascii="Times New Roman" w:hAnsi="Times New Roman" w:eastAsia="仿宋"/>
          <w:szCs w:val="32"/>
          <w:highlight w:val="none"/>
          <w:lang w:val="en-US" w:eastAsia="zh-CN"/>
        </w:rPr>
        <w:t>4.58</w:t>
      </w:r>
      <w:r>
        <w:rPr>
          <w:rFonts w:hint="eastAsia" w:ascii="Times New Roman" w:hAnsi="Times New Roman" w:eastAsia="仿宋"/>
          <w:szCs w:val="32"/>
          <w:highlight w:val="none"/>
        </w:rPr>
        <w:t>万元、差旅费</w:t>
      </w:r>
      <w:r>
        <w:rPr>
          <w:rFonts w:hint="eastAsia" w:ascii="Times New Roman" w:hAnsi="Times New Roman" w:eastAsia="仿宋"/>
          <w:szCs w:val="32"/>
          <w:highlight w:val="none"/>
          <w:lang w:val="en-US" w:eastAsia="zh-CN"/>
        </w:rPr>
        <w:t>5</w:t>
      </w:r>
      <w:r>
        <w:rPr>
          <w:rFonts w:hint="eastAsia" w:ascii="Times New Roman" w:hAnsi="Times New Roman" w:eastAsia="仿宋"/>
          <w:szCs w:val="32"/>
          <w:highlight w:val="none"/>
        </w:rPr>
        <w:t>万元、福利费1</w:t>
      </w:r>
      <w:r>
        <w:rPr>
          <w:rFonts w:hint="eastAsia" w:ascii="Times New Roman" w:hAnsi="Times New Roman" w:eastAsia="仿宋"/>
          <w:szCs w:val="32"/>
          <w:highlight w:val="none"/>
          <w:lang w:val="en-US" w:eastAsia="zh-CN"/>
        </w:rPr>
        <w:t>3.42</w:t>
      </w:r>
      <w:r>
        <w:rPr>
          <w:rFonts w:hint="eastAsia" w:ascii="Times New Roman" w:hAnsi="Times New Roman" w:eastAsia="仿宋"/>
          <w:szCs w:val="32"/>
          <w:highlight w:val="none"/>
        </w:rPr>
        <w:t>万元、工会经费</w:t>
      </w:r>
      <w:r>
        <w:rPr>
          <w:rFonts w:hint="eastAsia" w:ascii="Times New Roman" w:hAnsi="Times New Roman" w:eastAsia="仿宋"/>
          <w:szCs w:val="32"/>
          <w:highlight w:val="none"/>
          <w:lang w:val="en-US" w:eastAsia="zh-CN"/>
        </w:rPr>
        <w:t>6.44</w:t>
      </w:r>
      <w:r>
        <w:rPr>
          <w:rFonts w:hint="eastAsia" w:ascii="Times New Roman" w:hAnsi="Times New Roman" w:eastAsia="仿宋"/>
          <w:szCs w:val="32"/>
          <w:highlight w:val="none"/>
        </w:rPr>
        <w:t>万元、办公用房取暖</w:t>
      </w:r>
      <w:r>
        <w:rPr>
          <w:rFonts w:hint="eastAsia" w:ascii="Times New Roman" w:hAnsi="Times New Roman" w:eastAsia="仿宋"/>
          <w:szCs w:val="32"/>
        </w:rPr>
        <w:t>费</w:t>
      </w:r>
      <w:r>
        <w:rPr>
          <w:rFonts w:hint="eastAsia" w:ascii="Times New Roman" w:hAnsi="Times New Roman" w:eastAsia="仿宋"/>
          <w:szCs w:val="32"/>
          <w:lang w:val="en-US" w:eastAsia="zh-CN"/>
        </w:rPr>
        <w:t>4.44</w:t>
      </w:r>
      <w:r>
        <w:rPr>
          <w:rFonts w:hint="eastAsia" w:ascii="Times New Roman" w:hAnsi="Times New Roman" w:eastAsia="仿宋"/>
          <w:szCs w:val="32"/>
        </w:rPr>
        <w:t>万元、公务车运行维护费1.50万元</w:t>
      </w:r>
      <w:r>
        <w:rPr>
          <w:rFonts w:hint="eastAsia" w:ascii="Times New Roman" w:hAnsi="Times New Roman" w:eastAsia="仿宋"/>
          <w:szCs w:val="32"/>
          <w:lang w:eastAsia="zh-CN"/>
        </w:rPr>
        <w:t>、</w:t>
      </w:r>
      <w:r>
        <w:rPr>
          <w:rFonts w:hint="eastAsia" w:ascii="Times New Roman" w:hAnsi="Times New Roman" w:eastAsia="仿宋"/>
          <w:szCs w:val="32"/>
        </w:rPr>
        <w:t>电费2万元</w:t>
      </w:r>
      <w:r>
        <w:rPr>
          <w:rFonts w:hint="eastAsia" w:ascii="Times New Roman" w:hAnsi="Times New Roman" w:eastAsia="仿宋"/>
          <w:szCs w:val="32"/>
          <w:lang w:eastAsia="zh-CN"/>
        </w:rPr>
        <w:t>、</w:t>
      </w:r>
      <w:r>
        <w:rPr>
          <w:rFonts w:hint="eastAsia" w:ascii="Times New Roman" w:hAnsi="Times New Roman" w:eastAsia="仿宋"/>
          <w:szCs w:val="32"/>
        </w:rPr>
        <w:t>公务交通补贴</w:t>
      </w:r>
      <w:r>
        <w:rPr>
          <w:rFonts w:hint="eastAsia" w:ascii="Times New Roman" w:hAnsi="Times New Roman" w:eastAsia="仿宋"/>
          <w:szCs w:val="32"/>
          <w:lang w:val="en-US" w:eastAsia="zh-CN"/>
        </w:rPr>
        <w:t>10.86</w:t>
      </w:r>
      <w:r>
        <w:rPr>
          <w:rFonts w:hint="eastAsia" w:ascii="Times New Roman" w:hAnsi="Times New Roman" w:eastAsia="仿宋"/>
          <w:szCs w:val="32"/>
        </w:rPr>
        <w:t>万元</w:t>
      </w:r>
      <w:r>
        <w:rPr>
          <w:rFonts w:hint="eastAsia" w:ascii="Times New Roman" w:hAnsi="Times New Roman" w:eastAsia="仿宋"/>
          <w:szCs w:val="32"/>
          <w:lang w:eastAsia="zh-CN"/>
        </w:rPr>
        <w:t>、</w:t>
      </w:r>
      <w:r>
        <w:rPr>
          <w:rFonts w:hint="eastAsia" w:ascii="Times New Roman" w:hAnsi="Times New Roman" w:eastAsia="仿宋"/>
          <w:szCs w:val="32"/>
        </w:rPr>
        <w:t>其他商品和服务支出0.</w:t>
      </w:r>
      <w:r>
        <w:rPr>
          <w:rFonts w:hint="eastAsia" w:ascii="Times New Roman" w:hAnsi="Times New Roman" w:eastAsia="仿宋"/>
          <w:szCs w:val="32"/>
          <w:lang w:val="en-US" w:eastAsia="zh-CN"/>
        </w:rPr>
        <w:t>6</w:t>
      </w:r>
      <w:r>
        <w:rPr>
          <w:rFonts w:hint="eastAsia" w:ascii="Times New Roman" w:hAnsi="Times New Roman" w:eastAsia="仿宋"/>
          <w:szCs w:val="32"/>
        </w:rPr>
        <w:t>万元。</w:t>
      </w:r>
    </w:p>
    <w:p>
      <w:pPr>
        <w:ind w:firstLine="643" w:firstLineChars="200"/>
        <w:rPr>
          <w:rFonts w:hint="eastAsia" w:ascii="仿宋_GB2312" w:cs="Times New Roman"/>
          <w:b/>
          <w:bCs/>
        </w:rPr>
      </w:pPr>
      <w:r>
        <w:rPr>
          <w:rFonts w:hint="eastAsia" w:ascii="仿宋_GB2312"/>
          <w:b/>
          <w:bCs/>
        </w:rPr>
        <w:t>4</w:t>
      </w:r>
      <w:r>
        <w:rPr>
          <w:rFonts w:hint="eastAsia" w:ascii="仿宋_GB2312" w:cs="仿宋_GB2312"/>
          <w:b/>
          <w:bCs/>
        </w:rPr>
        <w:t>、财政拨款“三公”经费预算情况及增减变化情况</w:t>
      </w:r>
    </w:p>
    <w:p>
      <w:pPr>
        <w:ind w:firstLine="640" w:firstLineChars="200"/>
        <w:rPr>
          <w:rFonts w:hint="eastAsia"/>
          <w:highlight w:val="none"/>
        </w:rPr>
      </w:pPr>
      <w:r>
        <w:rPr>
          <w:rFonts w:hint="eastAsia" w:ascii="仿宋_GB2312" w:cs="仿宋_GB2312"/>
          <w:highlight w:val="none"/>
        </w:rPr>
        <w:t>201</w:t>
      </w:r>
      <w:r>
        <w:rPr>
          <w:rFonts w:hint="eastAsia" w:ascii="仿宋_GB2312" w:cs="仿宋_GB2312"/>
          <w:highlight w:val="none"/>
          <w:lang w:val="en-US" w:eastAsia="zh-CN"/>
        </w:rPr>
        <w:t>9</w:t>
      </w:r>
      <w:r>
        <w:rPr>
          <w:rFonts w:hint="eastAsia" w:ascii="仿宋_GB2312" w:cs="仿宋_GB2312"/>
          <w:highlight w:val="none"/>
        </w:rPr>
        <w:t>年，财政拨款“三公”经费预算安排</w:t>
      </w:r>
      <w:r>
        <w:rPr>
          <w:rFonts w:hint="eastAsia" w:ascii="仿宋_GB2312" w:cs="仿宋_GB2312"/>
          <w:highlight w:val="none"/>
          <w:lang w:val="en-US" w:eastAsia="zh-CN"/>
        </w:rPr>
        <w:t>1.5</w:t>
      </w:r>
      <w:r>
        <w:rPr>
          <w:rFonts w:hint="eastAsia" w:ascii="仿宋_GB2312" w:cs="仿宋_GB2312"/>
          <w:highlight w:val="none"/>
        </w:rPr>
        <w:t>万元，其中：因公出国（境）费0万元</w:t>
      </w:r>
      <w:r>
        <w:rPr>
          <w:rFonts w:ascii="仿宋_GB2312" w:cs="仿宋_GB2312"/>
          <w:highlight w:val="none"/>
        </w:rPr>
        <w:t>,</w:t>
      </w:r>
      <w:r>
        <w:rPr>
          <w:rFonts w:hint="eastAsia"/>
          <w:highlight w:val="none"/>
        </w:rPr>
        <w:t xml:space="preserve"> 与201</w:t>
      </w:r>
      <w:r>
        <w:rPr>
          <w:rFonts w:hint="eastAsia"/>
          <w:highlight w:val="none"/>
          <w:lang w:val="en-US" w:eastAsia="zh-CN"/>
        </w:rPr>
        <w:t>8</w:t>
      </w:r>
      <w:r>
        <w:rPr>
          <w:rFonts w:hint="eastAsia"/>
          <w:highlight w:val="none"/>
        </w:rPr>
        <w:t>年持平，无增减变化</w:t>
      </w:r>
      <w:r>
        <w:rPr>
          <w:rFonts w:hint="eastAsia" w:ascii="仿宋_GB2312" w:cs="仿宋_GB2312"/>
          <w:highlight w:val="none"/>
        </w:rPr>
        <w:t>；</w:t>
      </w:r>
      <w:r>
        <w:rPr>
          <w:rFonts w:hint="eastAsia"/>
          <w:highlight w:val="none"/>
        </w:rPr>
        <w:t>公务用车购置及运行维护费</w:t>
      </w:r>
      <w:r>
        <w:rPr>
          <w:rFonts w:hint="eastAsia"/>
          <w:highlight w:val="none"/>
          <w:lang w:val="en-US" w:eastAsia="zh-CN"/>
        </w:rPr>
        <w:t>1.5</w:t>
      </w:r>
      <w:r>
        <w:rPr>
          <w:rFonts w:hint="eastAsia"/>
          <w:highlight w:val="none"/>
        </w:rPr>
        <w:t>万元（其中公务用车购置费0万元，公务用车运行维护费</w:t>
      </w:r>
      <w:r>
        <w:rPr>
          <w:rFonts w:hint="eastAsia"/>
          <w:highlight w:val="none"/>
          <w:lang w:val="en-US" w:eastAsia="zh-CN"/>
        </w:rPr>
        <w:t>1.5</w:t>
      </w:r>
      <w:r>
        <w:rPr>
          <w:rFonts w:hint="eastAsia"/>
          <w:highlight w:val="none"/>
        </w:rPr>
        <w:t>万元），与201</w:t>
      </w:r>
      <w:r>
        <w:rPr>
          <w:rFonts w:hint="eastAsia"/>
          <w:highlight w:val="none"/>
          <w:lang w:val="en-US" w:eastAsia="zh-CN"/>
        </w:rPr>
        <w:t>8</w:t>
      </w:r>
      <w:r>
        <w:rPr>
          <w:rFonts w:hint="eastAsia"/>
          <w:highlight w:val="none"/>
        </w:rPr>
        <w:t>年持平，无增减变化；公务接待费0万元，与201</w:t>
      </w:r>
      <w:r>
        <w:rPr>
          <w:rFonts w:hint="eastAsia"/>
          <w:highlight w:val="none"/>
          <w:lang w:val="en-US" w:eastAsia="zh-CN"/>
        </w:rPr>
        <w:t>8</w:t>
      </w:r>
      <w:r>
        <w:rPr>
          <w:rFonts w:hint="eastAsia"/>
          <w:highlight w:val="none"/>
        </w:rPr>
        <w:t>年持平，无增减变化。</w:t>
      </w:r>
    </w:p>
    <w:p>
      <w:pPr>
        <w:ind w:firstLine="643" w:firstLineChars="200"/>
        <w:rPr>
          <w:rFonts w:hint="eastAsia" w:ascii="仿宋_GB2312" w:cs="Times New Roman"/>
          <w:b/>
          <w:bCs/>
        </w:rPr>
      </w:pPr>
      <w:r>
        <w:rPr>
          <w:rFonts w:hint="eastAsia" w:ascii="仿宋_GB2312"/>
          <w:b/>
          <w:bCs/>
        </w:rPr>
        <w:t>5</w:t>
      </w:r>
      <w:r>
        <w:rPr>
          <w:rFonts w:hint="eastAsia" w:ascii="仿宋_GB2312" w:cs="仿宋_GB2312"/>
          <w:b/>
          <w:bCs/>
        </w:rPr>
        <w:t>、绩效预算信息</w:t>
      </w:r>
    </w:p>
    <w:p>
      <w:pPr>
        <w:ind w:firstLine="562" w:firstLineChars="200"/>
        <w:rPr>
          <w:rFonts w:hint="eastAsia" w:ascii="仿宋_GB2312" w:cs="仿宋_GB2312"/>
          <w:b/>
          <w:bCs/>
        </w:rPr>
      </w:pPr>
      <w:r>
        <w:rPr>
          <w:rFonts w:hint="eastAsia" w:ascii="方正楷体_GBK" w:eastAsia="方正楷体_GBK"/>
          <w:b/>
          <w:bCs/>
          <w:sz w:val="28"/>
        </w:rPr>
        <w:t>（1）</w:t>
      </w:r>
      <w:r>
        <w:rPr>
          <w:rFonts w:hint="eastAsia" w:ascii="仿宋_GB2312" w:cs="仿宋_GB2312"/>
          <w:b/>
          <w:bCs/>
        </w:rPr>
        <w:t>总体绩效目标</w:t>
      </w:r>
    </w:p>
    <w:p>
      <w:pPr>
        <w:spacing w:line="500" w:lineRule="exact"/>
        <w:ind w:firstLine="560"/>
        <w:rPr>
          <w:rFonts w:hint="eastAsia" w:ascii="仿宋" w:hAnsi="仿宋" w:eastAsia="仿宋" w:cs="仿宋"/>
        </w:rPr>
        <w:sectPr>
          <w:pgSz w:w="11907" w:h="16839"/>
          <w:pgMar w:top="1361" w:right="1021" w:bottom="1361" w:left="1021" w:header="851" w:footer="992" w:gutter="0"/>
          <w:cols w:space="425" w:num="1"/>
          <w:docGrid w:type="lines" w:linePitch="312" w:charSpace="0"/>
        </w:sectPr>
      </w:pPr>
      <w:r>
        <w:rPr>
          <w:rFonts w:hint="eastAsia" w:ascii="仿宋" w:hAnsi="仿宋" w:eastAsia="仿宋" w:cs="仿宋"/>
          <w:bCs/>
          <w:sz w:val="28"/>
        </w:rPr>
        <w:t xml:space="preserve">    </w:t>
      </w:r>
      <w:r>
        <w:rPr>
          <w:rFonts w:hint="eastAsia" w:ascii="仿宋" w:hAnsi="仿宋" w:eastAsia="仿宋" w:cs="仿宋"/>
          <w:sz w:val="28"/>
        </w:rPr>
        <w:t xml:space="preserve">  落实卫生和计划生育政策，保障人民群众身体健康。经过综合医改减轻群众就医负担，落实奖扶、特扶等计划生育政策，解决独生子女困难家庭负担，实现常驻居民和流动人员基本公共卫生服务均等化</w:t>
      </w:r>
    </w:p>
    <w:p>
      <w:pPr>
        <w:rPr>
          <w:rFonts w:hint="eastAsia" w:ascii="仿宋_GB2312" w:cs="方正仿宋_GBK"/>
          <w:highlight w:val="red"/>
          <w:lang w:eastAsia="zh-CN"/>
        </w:rPr>
      </w:pPr>
      <w:r>
        <w:rPr>
          <w:rFonts w:hint="eastAsia" w:ascii="仿宋_GB2312" w:cs="方正仿宋_GBK"/>
          <w:b/>
          <w:lang w:eastAsia="zh-CN"/>
        </w:rPr>
        <w:t>（</w:t>
      </w:r>
      <w:r>
        <w:rPr>
          <w:rFonts w:hint="eastAsia" w:ascii="仿宋_GB2312" w:cs="方正仿宋_GBK"/>
          <w:b/>
          <w:lang w:val="en-US" w:eastAsia="zh-CN"/>
        </w:rPr>
        <w:t>2）</w:t>
      </w:r>
      <w:r>
        <w:rPr>
          <w:rFonts w:hint="eastAsia" w:ascii="仿宋_GB2312" w:cs="方正仿宋_GBK"/>
          <w:b/>
        </w:rPr>
        <w:t>职责分类绩效目标：</w:t>
      </w:r>
    </w:p>
    <w:p>
      <w:pPr>
        <w:spacing w:line="500" w:lineRule="exact"/>
        <w:ind w:firstLine="560"/>
        <w:rPr>
          <w:rFonts w:hint="eastAsia" w:ascii="仿宋" w:hAnsi="仿宋" w:eastAsia="仿宋" w:cs="仿宋"/>
          <w:sz w:val="28"/>
        </w:rPr>
      </w:pPr>
      <w:r>
        <w:rPr>
          <w:rFonts w:hint="eastAsia" w:ascii="仿宋" w:hAnsi="仿宋" w:eastAsia="仿宋" w:cs="仿宋"/>
          <w:sz w:val="28"/>
          <w:lang w:val="en-US" w:eastAsia="zh-CN"/>
        </w:rPr>
        <w:t>1</w:t>
      </w:r>
      <w:r>
        <w:rPr>
          <w:rFonts w:hint="eastAsia" w:ascii="仿宋" w:hAnsi="仿宋" w:eastAsia="仿宋" w:cs="仿宋"/>
          <w:sz w:val="28"/>
        </w:rPr>
        <w:t>、公共卫生服务：推进基本公共卫生服务均等化，控制各类重大疾病的发生与传播；有效应对我县突发公共卫生事件；保障妇女儿童身心健康；提高食品安全风险预警能力，为保障食品安全提供技术支撑。</w:t>
      </w:r>
    </w:p>
    <w:p>
      <w:pPr>
        <w:spacing w:line="500" w:lineRule="exact"/>
        <w:ind w:firstLine="560"/>
        <w:rPr>
          <w:rFonts w:hint="eastAsia" w:ascii="仿宋" w:hAnsi="仿宋" w:eastAsia="仿宋" w:cs="仿宋"/>
          <w:sz w:val="28"/>
        </w:rPr>
      </w:pPr>
      <w:r>
        <w:rPr>
          <w:rFonts w:hint="eastAsia" w:ascii="仿宋" w:hAnsi="仿宋" w:eastAsia="仿宋" w:cs="仿宋"/>
          <w:sz w:val="28"/>
          <w:lang w:val="en-US" w:eastAsia="zh-CN"/>
        </w:rPr>
        <w:t>2</w:t>
      </w:r>
      <w:r>
        <w:rPr>
          <w:rFonts w:hint="eastAsia" w:ascii="仿宋" w:hAnsi="仿宋" w:eastAsia="仿宋" w:cs="仿宋"/>
          <w:sz w:val="28"/>
        </w:rPr>
        <w:t>、医疗卫生服务：提高医疗机构的疾病救治能力，强化公立医院和基层医疗卫生机构综合改革，满足各类人民群众的医疗服务需求。加强公立医院运行监管、绩效评价和考核制度，规范卫生专业技术人员执业规则和服务规范。</w:t>
      </w:r>
    </w:p>
    <w:p>
      <w:pPr>
        <w:spacing w:line="500" w:lineRule="exact"/>
        <w:ind w:firstLine="560"/>
        <w:rPr>
          <w:rFonts w:hint="eastAsia" w:ascii="仿宋" w:hAnsi="仿宋" w:eastAsia="仿宋" w:cs="仿宋"/>
          <w:sz w:val="28"/>
        </w:rPr>
      </w:pPr>
      <w:r>
        <w:rPr>
          <w:rFonts w:hint="eastAsia" w:ascii="仿宋" w:hAnsi="仿宋" w:eastAsia="仿宋" w:cs="仿宋"/>
          <w:sz w:val="28"/>
          <w:lang w:val="en-US" w:eastAsia="zh-CN"/>
        </w:rPr>
        <w:t>3</w:t>
      </w:r>
      <w:r>
        <w:rPr>
          <w:rFonts w:hint="eastAsia" w:ascii="仿宋" w:hAnsi="仿宋" w:eastAsia="仿宋" w:cs="仿宋"/>
          <w:sz w:val="28"/>
        </w:rPr>
        <w:t>、计划生育：保持适度的低生育水平，有效保障计划生育家庭生活水平，提高妇女生殖健康水平，降低出生缺陷的发生，有效遏制出生人口性别比偏高问题。加强流动人口计划生育管理，落实计划生育奖励和特别扶助政策。</w:t>
      </w:r>
    </w:p>
    <w:p>
      <w:pPr>
        <w:spacing w:line="500" w:lineRule="exact"/>
        <w:ind w:firstLine="560"/>
        <w:rPr>
          <w:rFonts w:hint="eastAsia" w:ascii="仿宋" w:hAnsi="仿宋" w:eastAsia="仿宋" w:cs="仿宋"/>
          <w:sz w:val="28"/>
        </w:rPr>
      </w:pPr>
      <w:r>
        <w:rPr>
          <w:rFonts w:hint="eastAsia" w:ascii="仿宋" w:hAnsi="仿宋" w:eastAsia="仿宋" w:cs="仿宋"/>
          <w:sz w:val="28"/>
          <w:lang w:val="en-US" w:eastAsia="zh-CN"/>
        </w:rPr>
        <w:t>4</w:t>
      </w:r>
      <w:r>
        <w:rPr>
          <w:rFonts w:hint="eastAsia" w:ascii="仿宋" w:hAnsi="仿宋" w:eastAsia="仿宋" w:cs="仿宋"/>
          <w:sz w:val="28"/>
        </w:rPr>
        <w:t>、中医药服务：加强中医药能力建设，提高中医药人员服务水平，有效发挥中医药在医疗保健领域的特色优势。加强中医药人才培养，加强中医机构卫生技术人员管理和技术考核。</w:t>
      </w:r>
    </w:p>
    <w:p>
      <w:pPr>
        <w:spacing w:line="500" w:lineRule="exact"/>
        <w:ind w:firstLine="560"/>
        <w:rPr>
          <w:rFonts w:hint="eastAsia" w:ascii="仿宋" w:hAnsi="仿宋" w:eastAsia="仿宋" w:cs="仿宋"/>
          <w:sz w:val="28"/>
        </w:rPr>
      </w:pPr>
      <w:r>
        <w:rPr>
          <w:rFonts w:hint="eastAsia" w:ascii="仿宋" w:hAnsi="仿宋" w:eastAsia="仿宋" w:cs="仿宋"/>
          <w:sz w:val="28"/>
          <w:lang w:val="en-US" w:eastAsia="zh-CN"/>
        </w:rPr>
        <w:t>5</w:t>
      </w:r>
      <w:r>
        <w:rPr>
          <w:rFonts w:hint="eastAsia" w:ascii="仿宋" w:hAnsi="仿宋" w:eastAsia="仿宋" w:cs="仿宋"/>
          <w:sz w:val="28"/>
        </w:rPr>
        <w:t>、卫生计生政务:确定卫生计生发展目标，加强行政管理。依法行政，落实发展目标，主动公开和宣传部门职责，接受群众监督，保障卫生计生事业稳定发展。</w:t>
      </w:r>
    </w:p>
    <w:p>
      <w:pPr>
        <w:ind w:firstLine="560"/>
        <w:rPr>
          <w:rFonts w:hint="eastAsia" w:ascii="仿宋" w:hAnsi="仿宋" w:eastAsia="仿宋" w:cs="仿宋"/>
          <w:highlight w:val="red"/>
          <w:lang w:eastAsia="zh-CN"/>
        </w:rPr>
      </w:pPr>
    </w:p>
    <w:p>
      <w:pPr>
        <w:ind w:firstLine="643" w:firstLineChars="200"/>
        <w:rPr>
          <w:rFonts w:hint="eastAsia" w:ascii="仿宋_GB2312" w:cs="方正仿宋_GBK"/>
          <w:b/>
        </w:rPr>
      </w:pPr>
      <w:r>
        <w:rPr>
          <w:rFonts w:hint="eastAsia" w:ascii="仿宋_GB2312" w:cs="方正仿宋_GBK"/>
          <w:b/>
          <w:lang w:eastAsia="zh-CN"/>
        </w:rPr>
        <w:t>（</w:t>
      </w:r>
      <w:r>
        <w:rPr>
          <w:rFonts w:hint="eastAsia" w:ascii="仿宋_GB2312" w:cs="方正仿宋_GBK"/>
          <w:b/>
          <w:lang w:val="en-US" w:eastAsia="zh-CN"/>
        </w:rPr>
        <w:t>3）</w:t>
      </w:r>
      <w:r>
        <w:rPr>
          <w:rFonts w:hint="eastAsia" w:ascii="仿宋_GB2312" w:cs="方正仿宋_GBK"/>
          <w:b/>
        </w:rPr>
        <w:t>实现年度发展规划目标的保障措施：</w:t>
      </w:r>
    </w:p>
    <w:p>
      <w:pPr>
        <w:spacing w:line="500" w:lineRule="exact"/>
        <w:ind w:firstLine="560"/>
        <w:rPr>
          <w:rFonts w:hint="eastAsia" w:ascii="仿宋" w:hAnsi="仿宋" w:eastAsia="仿宋" w:cs="仿宋"/>
          <w:sz w:val="28"/>
        </w:rPr>
      </w:pPr>
      <w:r>
        <w:rPr>
          <w:rFonts w:hint="eastAsia" w:ascii="仿宋" w:hAnsi="仿宋" w:eastAsia="仿宋" w:cs="仿宋"/>
          <w:sz w:val="28"/>
        </w:rPr>
        <w:t>通过广泛宣传，深入实际，掌握实底，正确运用惠民政策开展各项工作，各级财政全面保障资金足额及时拨付，同时对各项资金监督检查，确保资金安全运行。</w:t>
      </w:r>
    </w:p>
    <w:p>
      <w:pPr>
        <w:jc w:val="left"/>
        <w:rPr>
          <w:rFonts w:hint="eastAsia" w:ascii="仿宋" w:hAnsi="仿宋" w:eastAsia="仿宋" w:cs="仿宋"/>
        </w:rPr>
        <w:sectPr>
          <w:footerReference r:id="rId4" w:type="default"/>
          <w:pgSz w:w="11907" w:h="16839"/>
          <w:pgMar w:top="1531" w:right="1134" w:bottom="1474" w:left="1134" w:header="851" w:footer="992" w:gutter="0"/>
          <w:pgNumType w:start="1"/>
          <w:cols w:space="425" w:num="1"/>
          <w:docGrid w:type="lines" w:linePitch="312" w:charSpace="0"/>
        </w:sectPr>
      </w:pPr>
    </w:p>
    <w:p>
      <w:pPr>
        <w:ind w:firstLine="800" w:firstLineChars="250"/>
        <w:rPr>
          <w:rFonts w:hint="eastAsia" w:ascii="仿宋_GB2312" w:cs="方正仿宋_GBK"/>
          <w:highlight w:val="yellow"/>
        </w:rPr>
      </w:pPr>
    </w:p>
    <w:p>
      <w:pPr>
        <w:ind w:firstLine="560"/>
        <w:rPr>
          <w:rFonts w:hint="eastAsia" w:cs="仿宋_GB2312"/>
          <w:b w:val="0"/>
          <w:bCs w:val="0"/>
        </w:rPr>
      </w:pPr>
      <w:r>
        <w:rPr>
          <w:rFonts w:hint="eastAsia" w:cs="仿宋_GB2312"/>
          <w:b/>
          <w:bCs/>
          <w:lang w:eastAsia="zh-CN"/>
        </w:rPr>
        <w:t>（</w:t>
      </w:r>
      <w:r>
        <w:rPr>
          <w:rFonts w:hint="eastAsia" w:cs="仿宋_GB2312"/>
          <w:b/>
          <w:bCs/>
          <w:lang w:val="en-US" w:eastAsia="zh-CN"/>
        </w:rPr>
        <w:t>4）</w:t>
      </w:r>
      <w:r>
        <w:rPr>
          <w:rFonts w:hint="eastAsia" w:cs="仿宋_GB2312"/>
          <w:b/>
          <w:bCs/>
        </w:rPr>
        <w:t>201</w:t>
      </w:r>
      <w:r>
        <w:rPr>
          <w:rFonts w:hint="eastAsia" w:cs="仿宋_GB2312"/>
          <w:b/>
          <w:bCs/>
          <w:lang w:val="en-US" w:eastAsia="zh-CN"/>
        </w:rPr>
        <w:t>9</w:t>
      </w:r>
      <w:r>
        <w:rPr>
          <w:rFonts w:hint="eastAsia" w:cs="仿宋_GB2312"/>
          <w:b/>
          <w:bCs/>
        </w:rPr>
        <w:t>年部门职责及工作活动绩效目标指标</w:t>
      </w:r>
    </w:p>
    <w:p>
      <w:pPr>
        <w:jc w:val="center"/>
        <w:outlineLvl w:val="0"/>
        <w:rPr>
          <w:rFonts w:ascii="方正小标宋_GBK" w:eastAsia="方正小标宋_GBK"/>
          <w:color w:val="FFFFFF"/>
          <w:sz w:val="32"/>
        </w:rPr>
      </w:pPr>
      <w:bookmarkStart w:id="1" w:name="_Toc1057797"/>
      <w:r>
        <w:rPr>
          <w:rFonts w:hint="eastAsia" w:ascii="方正小标宋_GBK" w:eastAsia="方正小标宋_GBK"/>
          <w:sz w:val="32"/>
        </w:rPr>
        <w:t>部门职责-工作活动绩效目标</w:t>
      </w:r>
      <w:r>
        <w:rPr>
          <w:rStyle w:val="9"/>
          <w:rFonts w:ascii="方正小标宋_GBK" w:eastAsia="方正小标宋_GBK"/>
          <w:color w:val="FFFFFF"/>
          <w:sz w:val="32"/>
        </w:rPr>
        <w:footnoteReference w:id="0" w:customMarkFollows="1"/>
        <w:sym w:font="Symbol" w:char="F020"/>
      </w:r>
      <w:bookmarkEnd w:id="1"/>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1"/>
                <w:szCs w:val="21"/>
                <w:lang w:eastAsia="zh-CN"/>
              </w:rPr>
            </w:pPr>
            <w:r>
              <w:rPr>
                <w:rFonts w:ascii="方正小标宋_GBK" w:eastAsia="方正小标宋_GBK"/>
                <w:sz w:val="21"/>
                <w:szCs w:val="21"/>
              </w:rPr>
              <w:t>361</w:t>
            </w:r>
            <w:r>
              <w:rPr>
                <w:rFonts w:hint="eastAsia" w:ascii="方正小标宋_GBK" w:eastAsia="方正小标宋_GBK"/>
                <w:sz w:val="21"/>
                <w:szCs w:val="21"/>
              </w:rPr>
              <w:t>饶阳县卫生</w:t>
            </w:r>
            <w:r>
              <w:rPr>
                <w:rFonts w:hint="eastAsia" w:ascii="方正小标宋_GBK" w:eastAsia="方正小标宋_GBK"/>
                <w:sz w:val="21"/>
                <w:szCs w:val="21"/>
                <w:lang w:eastAsia="zh-CN"/>
              </w:rPr>
              <w:t>健康局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w:t>
            </w:r>
            <w:r>
              <w:rPr>
                <w:rFonts w:hint="eastAsia" w:ascii="方正书宋_GBK" w:eastAsia="方正书宋_GBK"/>
                <w:sz w:val="21"/>
                <w:szCs w:val="21"/>
                <w:lang w:eastAsia="zh-CN"/>
              </w:rPr>
              <w:t>万</w:t>
            </w:r>
            <w:r>
              <w:rPr>
                <w:rFonts w:hint="eastAsia" w:ascii="方正书宋_GBK" w:eastAsia="方正书宋_GBK"/>
                <w:sz w:val="21"/>
                <w:szCs w:val="21"/>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职责活动</w:t>
            </w:r>
          </w:p>
        </w:tc>
        <w:tc>
          <w:tcPr>
            <w:tcW w:w="1276"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年度预算数</w:t>
            </w:r>
          </w:p>
        </w:tc>
        <w:tc>
          <w:tcPr>
            <w:tcW w:w="2976"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内容描述</w:t>
            </w:r>
          </w:p>
        </w:tc>
        <w:tc>
          <w:tcPr>
            <w:tcW w:w="2976"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417"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w:t>
            </w:r>
          </w:p>
        </w:tc>
        <w:tc>
          <w:tcPr>
            <w:tcW w:w="2948" w:type="dxa"/>
            <w:gridSpan w:val="4"/>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sz w:val="21"/>
                <w:szCs w:val="21"/>
              </w:rPr>
            </w:pPr>
          </w:p>
        </w:tc>
        <w:tc>
          <w:tcPr>
            <w:tcW w:w="1276" w:type="dxa"/>
            <w:vMerge w:val="continue"/>
            <w:shd w:val="clear" w:color="auto" w:fill="auto"/>
            <w:vAlign w:val="center"/>
          </w:tcPr>
          <w:p>
            <w:pPr>
              <w:spacing w:line="300" w:lineRule="exact"/>
              <w:jc w:val="left"/>
              <w:outlineLvl w:val="0"/>
              <w:rPr>
                <w:sz w:val="21"/>
                <w:szCs w:val="21"/>
              </w:rPr>
            </w:pPr>
          </w:p>
        </w:tc>
        <w:tc>
          <w:tcPr>
            <w:tcW w:w="2976" w:type="dxa"/>
            <w:vMerge w:val="continue"/>
            <w:shd w:val="clear" w:color="auto" w:fill="auto"/>
            <w:vAlign w:val="center"/>
          </w:tcPr>
          <w:p>
            <w:pPr>
              <w:spacing w:line="300" w:lineRule="exact"/>
              <w:jc w:val="left"/>
              <w:outlineLvl w:val="0"/>
              <w:rPr>
                <w:sz w:val="21"/>
                <w:szCs w:val="21"/>
              </w:rPr>
            </w:pPr>
          </w:p>
        </w:tc>
        <w:tc>
          <w:tcPr>
            <w:tcW w:w="2976" w:type="dxa"/>
            <w:vMerge w:val="continue"/>
            <w:shd w:val="clear" w:color="auto" w:fill="auto"/>
            <w:vAlign w:val="center"/>
          </w:tcPr>
          <w:p>
            <w:pPr>
              <w:spacing w:line="300" w:lineRule="exact"/>
              <w:jc w:val="left"/>
              <w:outlineLvl w:val="0"/>
              <w:rPr>
                <w:sz w:val="21"/>
                <w:szCs w:val="21"/>
              </w:rPr>
            </w:pPr>
          </w:p>
        </w:tc>
        <w:tc>
          <w:tcPr>
            <w:tcW w:w="1417" w:type="dxa"/>
            <w:vMerge w:val="continue"/>
            <w:shd w:val="clear" w:color="auto" w:fill="auto"/>
            <w:vAlign w:val="center"/>
          </w:tcPr>
          <w:p>
            <w:pPr>
              <w:spacing w:line="300" w:lineRule="exact"/>
              <w:jc w:val="left"/>
              <w:outlineLvl w:val="0"/>
              <w:rPr>
                <w:sz w:val="21"/>
                <w:szCs w:val="21"/>
              </w:rPr>
            </w:pPr>
          </w:p>
        </w:tc>
        <w:tc>
          <w:tcPr>
            <w:tcW w:w="737"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优</w:t>
            </w:r>
          </w:p>
        </w:tc>
        <w:tc>
          <w:tcPr>
            <w:tcW w:w="737"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良</w:t>
            </w:r>
          </w:p>
        </w:tc>
        <w:tc>
          <w:tcPr>
            <w:tcW w:w="737"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中</w:t>
            </w:r>
          </w:p>
        </w:tc>
        <w:tc>
          <w:tcPr>
            <w:tcW w:w="737"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sz w:val="21"/>
                <w:szCs w:val="21"/>
              </w:rPr>
            </w:pPr>
            <w:r>
              <w:rPr>
                <w:rFonts w:hint="eastAsia" w:ascii="方正书宋_GBK" w:eastAsia="方正书宋_GBK"/>
                <w:b/>
                <w:sz w:val="21"/>
                <w:szCs w:val="21"/>
              </w:rPr>
              <w:t>一、公共卫生</w:t>
            </w:r>
          </w:p>
        </w:tc>
        <w:tc>
          <w:tcPr>
            <w:tcW w:w="1276" w:type="dxa"/>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1930</w:t>
            </w:r>
            <w:r>
              <w:rPr>
                <w:rFonts w:hint="eastAsia" w:ascii="方正书宋_GBK" w:eastAsia="方正书宋_GBK"/>
                <w:sz w:val="21"/>
                <w:szCs w:val="21"/>
                <w:lang w:val="en-US" w:eastAsia="zh-CN"/>
              </w:rPr>
              <w:t>.</w:t>
            </w:r>
            <w:r>
              <w:rPr>
                <w:rFonts w:ascii="方正书宋_GBK" w:eastAsia="方正书宋_GBK"/>
                <w:sz w:val="21"/>
                <w:szCs w:val="21"/>
              </w:rPr>
              <w:t>4980</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公共卫生是保障</w:t>
            </w:r>
          </w:p>
          <w:p>
            <w:pPr>
              <w:spacing w:line="300" w:lineRule="exact"/>
              <w:jc w:val="left"/>
              <w:rPr>
                <w:rFonts w:ascii="方正书宋_GBK" w:eastAsia="方正书宋_GBK"/>
                <w:sz w:val="21"/>
                <w:szCs w:val="21"/>
              </w:rPr>
            </w:pPr>
            <w:r>
              <w:rPr>
                <w:rFonts w:hint="eastAsia" w:ascii="方正书宋_GBK" w:eastAsia="方正书宋_GBK"/>
                <w:sz w:val="21"/>
                <w:szCs w:val="21"/>
              </w:rPr>
              <w:t>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推进基本公共卫生服务均等化；</w:t>
            </w:r>
          </w:p>
          <w:p>
            <w:pPr>
              <w:spacing w:line="300" w:lineRule="exact"/>
              <w:jc w:val="left"/>
              <w:rPr>
                <w:rFonts w:ascii="方正书宋_GBK" w:eastAsia="方正书宋_GBK"/>
                <w:sz w:val="21"/>
                <w:szCs w:val="21"/>
              </w:rPr>
            </w:pPr>
            <w:r>
              <w:rPr>
                <w:rFonts w:hint="eastAsia" w:ascii="方正书宋_GBK" w:eastAsia="方正书宋_GBK"/>
                <w:sz w:val="21"/>
                <w:szCs w:val="21"/>
              </w:rPr>
              <w:t>控制各类重大疾病的发生与传播；有效应对我县突发公共卫生事件；保障妇女儿童身心健康；提高食品安全风险预警能力，为保障食品安全提供技术支撑。</w:t>
            </w:r>
          </w:p>
        </w:tc>
        <w:tc>
          <w:tcPr>
            <w:tcW w:w="1417" w:type="dxa"/>
            <w:shd w:val="clear" w:color="auto" w:fill="auto"/>
            <w:vAlign w:val="center"/>
          </w:tcPr>
          <w:p>
            <w:pPr>
              <w:spacing w:line="300" w:lineRule="exact"/>
              <w:jc w:val="left"/>
              <w:rPr>
                <w:rFonts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1</w:t>
            </w:r>
            <w:r>
              <w:rPr>
                <w:rFonts w:hint="eastAsia" w:ascii="方正书宋_GBK" w:eastAsia="方正书宋_GBK"/>
                <w:b/>
                <w:sz w:val="21"/>
                <w:szCs w:val="21"/>
              </w:rPr>
              <w:t>、基本公共卫生服务</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1814</w:t>
            </w:r>
            <w:r>
              <w:rPr>
                <w:rFonts w:hint="eastAsia" w:ascii="方正书宋_GBK" w:eastAsia="方正书宋_GBK"/>
                <w:sz w:val="21"/>
                <w:szCs w:val="21"/>
                <w:lang w:val="en-US" w:eastAsia="zh-CN"/>
              </w:rPr>
              <w:t>.</w:t>
            </w:r>
            <w:r>
              <w:rPr>
                <w:rFonts w:ascii="方正书宋_GBK" w:eastAsia="方正书宋_GBK"/>
                <w:sz w:val="21"/>
                <w:szCs w:val="21"/>
              </w:rPr>
              <w:t>1800</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按照国家基本公共卫生服务项目《规范》，</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组织全县基层医疗卫生机构开展实施基本公共卫生服务项目。</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对城乡居民健康实行干预，减少危害健康的因素，</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有效预防传染病及慢性病，使其享有平等的基本卫生服务。</w:t>
            </w:r>
          </w:p>
        </w:tc>
        <w:tc>
          <w:tcPr>
            <w:tcW w:w="1417"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城乡居民健康档案建档率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75%</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城乡居民电子档案建档率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免费健康体检率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2</w:t>
            </w:r>
            <w:r>
              <w:rPr>
                <w:rFonts w:hint="eastAsia" w:ascii="方正书宋_GBK" w:eastAsia="方正书宋_GBK"/>
                <w:b/>
                <w:sz w:val="21"/>
                <w:szCs w:val="21"/>
              </w:rPr>
              <w:t>、疾病预防控制</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25</w:t>
            </w:r>
            <w:r>
              <w:rPr>
                <w:rFonts w:hint="eastAsia" w:ascii="方正书宋_GBK" w:eastAsia="方正书宋_GBK"/>
                <w:sz w:val="21"/>
                <w:szCs w:val="21"/>
                <w:lang w:val="en-US" w:eastAsia="zh-CN"/>
              </w:rPr>
              <w:t>.</w:t>
            </w:r>
            <w:r>
              <w:rPr>
                <w:rFonts w:ascii="方正书宋_GBK" w:eastAsia="方正书宋_GBK"/>
                <w:sz w:val="21"/>
                <w:szCs w:val="21"/>
              </w:rPr>
              <w:t>65</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组织落实重大疾病防治规划、国家免疫规划及严重危害人民</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健康公共卫生问题的干预措施，防止和控制疾病发生和疫情蔓延，组织开展全县爱国卫生工作。</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预防和控制疾病的发生、流动和传播，提高全县人民</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健康水平。</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国家免疫规划疫苗接种率</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重性精神疾病患者健康管理率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对乡镇结核病防治工作督导及疑似结核病人追踪率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r>
              <w:rPr>
                <w:rFonts w:hint="eastAsia" w:ascii="方正书宋_GBK" w:eastAsia="方正书宋_GBK"/>
                <w:sz w:val="21"/>
                <w:szCs w:val="21"/>
              </w:rPr>
              <w:t>≧</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98%</w:t>
            </w:r>
            <w:r>
              <w:rPr>
                <w:rFonts w:hint="eastAsia" w:ascii="方正书宋_GBK" w:eastAsia="方正书宋_GBK"/>
                <w:sz w:val="21"/>
                <w:szCs w:val="21"/>
              </w:rPr>
              <w:t>≧</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95%</w:t>
            </w:r>
            <w:r>
              <w:rPr>
                <w:rFonts w:hint="eastAsia" w:ascii="方正书宋_GBK" w:eastAsia="方正书宋_GBK"/>
                <w:sz w:val="21"/>
                <w:szCs w:val="21"/>
              </w:rPr>
              <w:t>≧</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完成艾滋病自愿咨询服务、艾滋病高危干预、大众宣传普及艾滋病知识及感染者随访</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r>
              <w:rPr>
                <w:rFonts w:hint="eastAsia" w:ascii="方正书宋_GBK" w:eastAsia="方正书宋_GBK"/>
                <w:sz w:val="21"/>
                <w:szCs w:val="21"/>
              </w:rPr>
              <w:t>≧</w:t>
            </w:r>
          </w:p>
        </w:tc>
        <w:tc>
          <w:tcPr>
            <w:tcW w:w="737" w:type="dxa"/>
            <w:shd w:val="clear" w:color="auto" w:fill="auto"/>
            <w:vAlign w:val="center"/>
          </w:tcPr>
          <w:p>
            <w:pPr>
              <w:spacing w:line="300" w:lineRule="exact"/>
              <w:jc w:val="center"/>
              <w:rPr>
                <w:rFonts w:ascii="方正书宋_GBK" w:eastAsia="方正书宋_GBK"/>
                <w:sz w:val="21"/>
                <w:szCs w:val="21"/>
              </w:rPr>
            </w:pPr>
            <w:r>
              <w:rPr>
                <w:rFonts w:hint="cs" w:ascii="方正书宋_GBK" w:eastAsia="方正书宋_GBK"/>
                <w:sz w:val="21"/>
                <w:szCs w:val="21"/>
              </w:rPr>
              <w:t>——</w:t>
            </w:r>
          </w:p>
        </w:tc>
        <w:tc>
          <w:tcPr>
            <w:tcW w:w="737" w:type="dxa"/>
            <w:shd w:val="clear" w:color="auto" w:fill="auto"/>
            <w:vAlign w:val="center"/>
          </w:tcPr>
          <w:p>
            <w:pPr>
              <w:spacing w:line="300" w:lineRule="exact"/>
              <w:jc w:val="center"/>
              <w:rPr>
                <w:rFonts w:ascii="方正书宋_GBK" w:eastAsia="方正书宋_GBK"/>
                <w:sz w:val="21"/>
                <w:szCs w:val="21"/>
              </w:rPr>
            </w:pPr>
            <w:r>
              <w:rPr>
                <w:rFonts w:hint="cs" w:ascii="方正书宋_GBK" w:eastAsia="方正书宋_GBK"/>
                <w:sz w:val="21"/>
                <w:szCs w:val="21"/>
              </w:rPr>
              <w:t>——</w:t>
            </w:r>
          </w:p>
        </w:tc>
        <w:tc>
          <w:tcPr>
            <w:tcW w:w="737" w:type="dxa"/>
            <w:shd w:val="clear" w:color="auto" w:fill="auto"/>
            <w:vAlign w:val="center"/>
          </w:tcPr>
          <w:p>
            <w:pPr>
              <w:spacing w:line="300" w:lineRule="exact"/>
              <w:jc w:val="center"/>
              <w:rPr>
                <w:rFonts w:ascii="方正书宋_GBK" w:eastAsia="方正书宋_GBK"/>
                <w:sz w:val="21"/>
                <w:szCs w:val="21"/>
              </w:rPr>
            </w:pPr>
            <w:r>
              <w:rPr>
                <w:rFonts w:hint="cs" w:ascii="方正书宋_GBK" w:eastAsia="方正书宋_GBK"/>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传染病疫情报告及时率（</w:t>
            </w:r>
            <w:r>
              <w:rPr>
                <w:rFonts w:ascii="方正书宋_GBK" w:eastAsia="方正书宋_GBK"/>
                <w:sz w:val="21"/>
                <w:szCs w:val="21"/>
              </w:rPr>
              <w:t>%</w:t>
            </w:r>
            <w:r>
              <w:rPr>
                <w:rFonts w:hint="eastAsia" w:ascii="方正书宋_GBK" w:eastAsia="方正书宋_GBK"/>
                <w:sz w:val="21"/>
                <w:szCs w:val="21"/>
              </w:rPr>
              <w:t>）</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c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96%</w:t>
            </w:r>
          </w:p>
        </w:tc>
        <w:tc>
          <w:tcPr>
            <w:tcW w:w="737" w:type="dxa"/>
            <w:shd w:val="clear" w:color="auto" w:fill="auto"/>
            <w:vAlign w:val="center"/>
          </w:tcPr>
          <w:p>
            <w:pPr>
              <w:spacing w:line="300" w:lineRule="exact"/>
              <w:jc w:val="center"/>
              <w:rPr>
                <w:rFonts w:hint="c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94%</w:t>
            </w:r>
          </w:p>
        </w:tc>
        <w:tc>
          <w:tcPr>
            <w:tcW w:w="737" w:type="dxa"/>
            <w:shd w:val="clear" w:color="auto" w:fill="auto"/>
            <w:vAlign w:val="center"/>
          </w:tcPr>
          <w:p>
            <w:pPr>
              <w:spacing w:line="300" w:lineRule="exact"/>
              <w:jc w:val="center"/>
              <w:rPr>
                <w:rFonts w:hint="cs" w:ascii="方正书宋_GBK" w:eastAsia="方正书宋_GBK"/>
                <w:sz w:val="21"/>
                <w:szCs w:val="21"/>
              </w:rPr>
            </w:pPr>
            <w:r>
              <w:rPr>
                <w:rFonts w:ascii="方正书宋_GBK" w:eastAsia="方正书宋_GBK"/>
                <w:sz w:val="21"/>
                <w:szCs w:val="21"/>
              </w:rPr>
              <w:t>&lt;93%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慢性病管理率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3</w:t>
            </w:r>
            <w:r>
              <w:rPr>
                <w:rFonts w:hint="eastAsia" w:ascii="方正书宋_GBK" w:eastAsia="方正书宋_GBK"/>
                <w:b/>
                <w:sz w:val="21"/>
                <w:szCs w:val="21"/>
              </w:rPr>
              <w:t>、突发公共卫生事件应急处置</w:t>
            </w:r>
          </w:p>
        </w:tc>
        <w:tc>
          <w:tcPr>
            <w:tcW w:w="1276" w:type="dxa"/>
            <w:vMerge w:val="restart"/>
            <w:shd w:val="clear" w:color="auto" w:fill="auto"/>
            <w:vAlign w:val="center"/>
          </w:tcPr>
          <w:p>
            <w:pPr>
              <w:spacing w:line="300" w:lineRule="exact"/>
              <w:jc w:val="left"/>
              <w:rPr>
                <w:rFonts w:ascii="方正书宋_GBK" w:eastAsia="方正书宋_GBK"/>
                <w:sz w:val="21"/>
                <w:szCs w:val="21"/>
              </w:rPr>
            </w:pP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负责全县卫生应急体系和能力建设，突发公共卫生事件的</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预防准备、监测预警、处置救援、总结评估等工作。</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提高突发公共卫生事件的应急处置能力，有效应对</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突发公共卫生事件，保障人民群众健康和生命安全。</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突发公共事件卫生应急处置率</w:t>
            </w:r>
            <w:r>
              <w:rPr>
                <w:rFonts w:ascii="方正书宋_GBK" w:eastAsia="方正书宋_GBK"/>
                <w:sz w:val="21"/>
                <w:szCs w:val="21"/>
              </w:rPr>
              <w:t xml:space="preserve"> </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98%</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96%</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94%</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突发公共卫生事件信息报告率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99%</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98%</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97%</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4</w:t>
            </w:r>
            <w:r>
              <w:rPr>
                <w:rFonts w:hint="eastAsia" w:ascii="方正书宋_GBK" w:eastAsia="方正书宋_GBK"/>
                <w:b/>
                <w:sz w:val="21"/>
                <w:szCs w:val="21"/>
              </w:rPr>
              <w:t>、妇幼健康服务</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90</w:t>
            </w:r>
            <w:r>
              <w:rPr>
                <w:rFonts w:hint="eastAsia" w:ascii="方正书宋_GBK" w:eastAsia="方正书宋_GBK"/>
                <w:sz w:val="21"/>
                <w:szCs w:val="21"/>
                <w:lang w:val="en-US" w:eastAsia="zh-CN"/>
              </w:rPr>
              <w:t>.</w:t>
            </w:r>
            <w:r>
              <w:rPr>
                <w:rFonts w:ascii="方正书宋_GBK" w:eastAsia="方正书宋_GBK"/>
                <w:sz w:val="21"/>
                <w:szCs w:val="21"/>
              </w:rPr>
              <w:t>6680</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落实上级妇幼健康服务项目，开展母婴保健、辅助生殖</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技术管理、妇女儿童常见病和多发病防治、出生缺陷综合防治、出生医学证明等母婴保健法律证件管理等各项工作。</w:t>
            </w: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提高妇女儿童健康水平和出生人口素质。</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新生儿疾病筛查率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孕产妇艾滋病、乙肝、梅毒检测率。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宫颈癌检查覆盖率。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婚前医学检查率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15%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10%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孕产妇健康档案建档率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唐筛产前筛查率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孕产妇死亡率，</w:t>
            </w:r>
            <w:r>
              <w:rPr>
                <w:rFonts w:ascii="方正书宋_GBK" w:eastAsia="方正书宋_GBK"/>
                <w:sz w:val="21"/>
                <w:szCs w:val="21"/>
              </w:rPr>
              <w:t>5</w:t>
            </w:r>
            <w:r>
              <w:rPr>
                <w:rFonts w:hint="eastAsia" w:ascii="方正书宋_GBK" w:eastAsia="方正书宋_GBK"/>
                <w:sz w:val="21"/>
                <w:szCs w:val="21"/>
              </w:rPr>
              <w:t>岁以下儿童死亡率，出生缺陷率。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&lt;7‰</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乳腺癌检查完成率。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产前</w:t>
            </w:r>
            <w:r>
              <w:rPr>
                <w:rFonts w:ascii="方正书宋_GBK" w:eastAsia="方正书宋_GBK"/>
                <w:sz w:val="21"/>
                <w:szCs w:val="21"/>
              </w:rPr>
              <w:t>5</w:t>
            </w:r>
            <w:r>
              <w:rPr>
                <w:rFonts w:hint="eastAsia" w:ascii="方正书宋_GBK" w:eastAsia="方正书宋_GBK"/>
                <w:sz w:val="21"/>
                <w:szCs w:val="21"/>
              </w:rPr>
              <w:t>次筛查率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生殖健康服务覆盖率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目标人群增补叶酸知识知晓率、叶酸服用率。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目标儿童营养包发放率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目标儿童营养包复用率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县、乡、村相关人员培训覆盖率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新生儿两病筛查率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新生儿免费听筛率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新生儿父母对新生儿疾病筛查知晓率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幼儿园儿童免费体检人数</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幼师免费体人数</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健康知识宣教人数</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5</w:t>
            </w:r>
            <w:r>
              <w:rPr>
                <w:rFonts w:hint="eastAsia" w:ascii="方正书宋_GBK" w:eastAsia="方正书宋_GBK"/>
                <w:b/>
                <w:sz w:val="21"/>
                <w:szCs w:val="21"/>
              </w:rPr>
              <w:t>、食品安全保障</w:t>
            </w:r>
          </w:p>
        </w:tc>
        <w:tc>
          <w:tcPr>
            <w:tcW w:w="1276" w:type="dxa"/>
            <w:vMerge w:val="restart"/>
            <w:shd w:val="clear" w:color="auto" w:fill="auto"/>
            <w:vAlign w:val="center"/>
          </w:tcPr>
          <w:p>
            <w:pPr>
              <w:spacing w:line="300" w:lineRule="exact"/>
              <w:jc w:val="left"/>
              <w:rPr>
                <w:rFonts w:ascii="方正书宋_GBK" w:eastAsia="方正书宋_GBK"/>
                <w:sz w:val="21"/>
                <w:szCs w:val="21"/>
              </w:rPr>
            </w:pP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开展食品安全风险监测和食源性疾病监测，贯彻宣传食品安全</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标准并跟踪评价，加强食品安全标准和风险监测评估能力建设，提供全县食品安全监管技术支持。</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健全我县食品安全风险监测体系，提高我县食品安全</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风险监测预警能力，保障人民群众身体健康。</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食品污染物及有害因素监测任务完成率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食品安全标准跟踪评价完成率</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二、医疗卫生</w:t>
            </w:r>
          </w:p>
        </w:tc>
        <w:tc>
          <w:tcPr>
            <w:tcW w:w="1276" w:type="dxa"/>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1947</w:t>
            </w:r>
            <w:r>
              <w:rPr>
                <w:rFonts w:hint="eastAsia" w:ascii="方正书宋_GBK" w:eastAsia="方正书宋_GBK"/>
                <w:sz w:val="21"/>
                <w:szCs w:val="21"/>
                <w:lang w:val="en-US" w:eastAsia="zh-CN"/>
              </w:rPr>
              <w:t>.</w:t>
            </w:r>
            <w:r>
              <w:rPr>
                <w:rFonts w:ascii="方正书宋_GBK" w:eastAsia="方正书宋_GBK"/>
                <w:sz w:val="21"/>
                <w:szCs w:val="21"/>
              </w:rPr>
              <w:t>9976</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以医疗技术为基本服务手段</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，通过各级各类医疗机构，向广大人民群众提供的医疗、预防、保健及康复等服务。</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提高医疗机构的疾病救治能力，强化</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公立医院和基层医疗卫生机构综合改革，满足各类人民群众的医疗服务需求。</w:t>
            </w:r>
          </w:p>
        </w:tc>
        <w:tc>
          <w:tcPr>
            <w:tcW w:w="1417" w:type="dxa"/>
            <w:shd w:val="clear" w:color="auto" w:fill="auto"/>
            <w:vAlign w:val="center"/>
          </w:tcPr>
          <w:p>
            <w:pPr>
              <w:spacing w:line="300" w:lineRule="exact"/>
              <w:jc w:val="left"/>
              <w:rPr>
                <w:rFonts w:hint="eastAsia"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hint="eastAsia" w:ascii="方正书宋_GBK" w:eastAsia="方正书宋_GBK"/>
                <w:sz w:val="21"/>
                <w:szCs w:val="21"/>
              </w:rPr>
            </w:pPr>
          </w:p>
        </w:tc>
        <w:tc>
          <w:tcPr>
            <w:tcW w:w="737" w:type="dxa"/>
            <w:shd w:val="clear" w:color="auto" w:fill="auto"/>
            <w:vAlign w:val="center"/>
          </w:tcPr>
          <w:p>
            <w:pPr>
              <w:spacing w:line="300" w:lineRule="exact"/>
              <w:jc w:val="center"/>
              <w:rPr>
                <w:rFonts w:hint="eastAsia"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1</w:t>
            </w:r>
            <w:r>
              <w:rPr>
                <w:rFonts w:hint="eastAsia" w:ascii="方正书宋_GBK" w:eastAsia="方正书宋_GBK"/>
                <w:b/>
                <w:sz w:val="21"/>
                <w:szCs w:val="21"/>
              </w:rPr>
              <w:t>、医疗服务</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97</w:t>
            </w:r>
            <w:r>
              <w:rPr>
                <w:rFonts w:hint="eastAsia" w:ascii="方正书宋_GBK" w:eastAsia="方正书宋_GBK"/>
                <w:sz w:val="21"/>
                <w:szCs w:val="21"/>
                <w:lang w:val="en-US" w:eastAsia="zh-CN"/>
              </w:rPr>
              <w:t>.</w:t>
            </w:r>
            <w:r>
              <w:rPr>
                <w:rFonts w:ascii="方正书宋_GBK" w:eastAsia="方正书宋_GBK"/>
                <w:sz w:val="21"/>
                <w:szCs w:val="21"/>
              </w:rPr>
              <w:t>4176</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针对不同类型的疾病提供预防、检查、诊断、治疗和康复等各类医疗</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服务，健全我县医疗机构和医疗服务全行业管理制度，开展医疗惠民工程等各类医疗服务工作。</w:t>
            </w: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提高医疗救治水平，满足各类患者的医疗服务需求。</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病床使用率</w:t>
            </w:r>
            <w:r>
              <w:rPr>
                <w:rFonts w:ascii="方正书宋_GBK" w:eastAsia="方正书宋_GBK"/>
                <w:sz w:val="21"/>
                <w:szCs w:val="21"/>
              </w:rPr>
              <w:t>(</w:t>
            </w:r>
            <w:r>
              <w:rPr>
                <w:rFonts w:hint="eastAsia" w:ascii="方正书宋_GBK" w:eastAsia="方正书宋_GBK"/>
                <w:sz w:val="21"/>
                <w:szCs w:val="21"/>
              </w:rPr>
              <w:t>个）</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20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15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10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门急诊服务窗口平均等候时间（分钟）</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&lt;10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&lt;15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&lt;20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入出院诊断符合率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2</w:t>
            </w:r>
            <w:r>
              <w:rPr>
                <w:rFonts w:hint="eastAsia" w:ascii="方正书宋_GBK" w:eastAsia="方正书宋_GBK"/>
                <w:b/>
                <w:sz w:val="21"/>
                <w:szCs w:val="21"/>
              </w:rPr>
              <w:t>、公立医院和基层医疗卫生机构综合改革</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1850</w:t>
            </w:r>
            <w:r>
              <w:rPr>
                <w:rFonts w:hint="eastAsia" w:ascii="方正书宋_GBK" w:eastAsia="方正书宋_GBK"/>
                <w:sz w:val="21"/>
                <w:szCs w:val="21"/>
                <w:lang w:val="en-US" w:eastAsia="zh-CN"/>
              </w:rPr>
              <w:t>.</w:t>
            </w:r>
            <w:r>
              <w:rPr>
                <w:rFonts w:ascii="方正书宋_GBK" w:eastAsia="方正书宋_GBK"/>
                <w:sz w:val="21"/>
                <w:szCs w:val="21"/>
              </w:rPr>
              <w:t>58</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按照上级有关要求，继续组织实施国家基本药物制度，制定全县基本</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药物采购、配送、使用管理制度，建立药品和高值医用耗材集中采购制度，加速推进公立医院和基层医疗卫生机构综合改革各项工作。</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逐步取消公立医院药品加成，实现基本药物制度乡村</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卫生机构全覆盖，健全和完善药品和高值医用耗材集中采购制度，缓解百姓</w:t>
            </w:r>
            <w:r>
              <w:rPr>
                <w:rFonts w:hint="cs" w:ascii="方正书宋_GBK" w:eastAsia="方正书宋_GBK"/>
                <w:sz w:val="21"/>
                <w:szCs w:val="21"/>
              </w:rPr>
              <w:t>“</w:t>
            </w:r>
            <w:r>
              <w:rPr>
                <w:rFonts w:hint="eastAsia" w:ascii="方正书宋_GBK" w:eastAsia="方正书宋_GBK"/>
                <w:sz w:val="21"/>
                <w:szCs w:val="21"/>
              </w:rPr>
              <w:t>看病难、看病贵</w:t>
            </w:r>
            <w:r>
              <w:rPr>
                <w:rFonts w:hint="cs" w:ascii="方正书宋_GBK" w:eastAsia="方正书宋_GBK"/>
                <w:sz w:val="21"/>
                <w:szCs w:val="21"/>
              </w:rPr>
              <w:t>”</w:t>
            </w:r>
            <w:r>
              <w:rPr>
                <w:rFonts w:hint="eastAsia" w:ascii="方正书宋_GBK" w:eastAsia="方正书宋_GBK"/>
                <w:sz w:val="21"/>
                <w:szCs w:val="21"/>
              </w:rPr>
              <w:t>问题。</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公立医院改革覆盖率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医疗风险分担机制覆盖率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基层医疗卫生机构药品零差率实施率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药占比</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&lt;45%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&lt;50%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&lt;55%</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药品加成率</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&lt;15%</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&lt;18%</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&lt;20%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三、计划生育</w:t>
            </w:r>
          </w:p>
        </w:tc>
        <w:tc>
          <w:tcPr>
            <w:tcW w:w="1276" w:type="dxa"/>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618</w:t>
            </w:r>
            <w:r>
              <w:rPr>
                <w:rFonts w:hint="eastAsia" w:ascii="方正书宋_GBK" w:eastAsia="方正书宋_GBK"/>
                <w:sz w:val="21"/>
                <w:szCs w:val="21"/>
                <w:lang w:val="en-US" w:eastAsia="zh-CN"/>
              </w:rPr>
              <w:t>.</w:t>
            </w:r>
            <w:r>
              <w:rPr>
                <w:rFonts w:ascii="方正书宋_GBK" w:eastAsia="方正书宋_GBK"/>
                <w:sz w:val="21"/>
                <w:szCs w:val="21"/>
              </w:rPr>
              <w:t>857</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坚持计划生育基本国策，提供</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各类计划生育技术服务，建立计划生育利益导向机制，开展出生人口性别比治理以及流动人口计划生育管理等各项工作。</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保持适度的低生育水平，有效保障计划生育家庭</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生活水平，提高妇女生殖健康水平，降低出生缺陷的发生，有效遏制出生人口性别比偏高问题。</w:t>
            </w:r>
          </w:p>
        </w:tc>
        <w:tc>
          <w:tcPr>
            <w:tcW w:w="1417" w:type="dxa"/>
            <w:shd w:val="clear" w:color="auto" w:fill="auto"/>
            <w:vAlign w:val="center"/>
          </w:tcPr>
          <w:p>
            <w:pPr>
              <w:spacing w:line="300" w:lineRule="exact"/>
              <w:jc w:val="left"/>
              <w:rPr>
                <w:rFonts w:hint="eastAsia"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hint="eastAsia"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1</w:t>
            </w:r>
            <w:r>
              <w:rPr>
                <w:rFonts w:hint="eastAsia" w:ascii="方正书宋_GBK" w:eastAsia="方正书宋_GBK"/>
                <w:b/>
                <w:sz w:val="21"/>
                <w:szCs w:val="21"/>
              </w:rPr>
              <w:t>、计划生育家庭发展与利益导向机制建设</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250</w:t>
            </w:r>
            <w:r>
              <w:rPr>
                <w:rFonts w:hint="eastAsia" w:ascii="方正书宋_GBK" w:eastAsia="方正书宋_GBK"/>
                <w:sz w:val="21"/>
                <w:szCs w:val="21"/>
                <w:lang w:val="en-US" w:eastAsia="zh-CN"/>
              </w:rPr>
              <w:t>.</w:t>
            </w:r>
            <w:r>
              <w:rPr>
                <w:rFonts w:ascii="方正书宋_GBK" w:eastAsia="方正书宋_GBK"/>
                <w:sz w:val="21"/>
                <w:szCs w:val="21"/>
              </w:rPr>
              <w:t>827</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通过实施国家奖扶、特扶等制度，创建幸福家庭等工作，全面提高</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计划生育家庭的发展能力。</w:t>
            </w: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有效引导群众自觉实行计划生育，加强计划生育家庭的发展能力，提高计划生育家庭的凝聚力及成员幸福感。</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农村部分计划生育家庭奖励扶助政策落实率</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计划生育家庭特别扶助政策落实率</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2</w:t>
            </w:r>
            <w:r>
              <w:rPr>
                <w:rFonts w:hint="eastAsia" w:ascii="方正书宋_GBK" w:eastAsia="方正书宋_GBK"/>
                <w:b/>
                <w:sz w:val="21"/>
                <w:szCs w:val="21"/>
              </w:rPr>
              <w:t>、计划生育指导与管理</w:t>
            </w:r>
          </w:p>
        </w:tc>
        <w:tc>
          <w:tcPr>
            <w:tcW w:w="1276" w:type="dxa"/>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做好出生人口性别比治理工作，加强流动人口计划生育管理，</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提升基层基础计划生育队伍服务水平。</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逐步扩大流动人口卫生计生基本公共服务均等化覆盖</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面，提高计划生育依法行政能力，提高各类人群计划生育服务满意度，促进社会和谐发展。</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流动人口计划生育服务满意率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85%</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3</w:t>
            </w:r>
            <w:r>
              <w:rPr>
                <w:rFonts w:hint="eastAsia" w:ascii="方正书宋_GBK" w:eastAsia="方正书宋_GBK"/>
                <w:b/>
                <w:sz w:val="21"/>
                <w:szCs w:val="21"/>
              </w:rPr>
              <w:t>、计划生育群众工作</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243</w:t>
            </w:r>
            <w:r>
              <w:rPr>
                <w:rFonts w:hint="eastAsia" w:ascii="方正书宋_GBK" w:eastAsia="方正书宋_GBK"/>
                <w:sz w:val="21"/>
                <w:szCs w:val="21"/>
                <w:lang w:val="en-US" w:eastAsia="zh-CN"/>
              </w:rPr>
              <w:t>.</w:t>
            </w:r>
            <w:r>
              <w:rPr>
                <w:rFonts w:ascii="方正书宋_GBK" w:eastAsia="方正书宋_GBK"/>
                <w:sz w:val="21"/>
                <w:szCs w:val="21"/>
              </w:rPr>
              <w:t>18</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协助政府开展计划生育群众自治、亲情关爱及幸福工程等工作，</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动员广大群众自觉参与和实行各项计划生育政策。</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增进广大育龄群众和计生家庭福祉，提高群众自觉</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实行计划生育的积极性。</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计划生育基层群众自治村覆盖率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失独家庭</w:t>
            </w:r>
            <w:r>
              <w:rPr>
                <w:rFonts w:hint="cs" w:ascii="方正书宋_GBK" w:eastAsia="方正书宋_GBK"/>
                <w:sz w:val="21"/>
                <w:szCs w:val="21"/>
              </w:rPr>
              <w:t>“</w:t>
            </w:r>
            <w:r>
              <w:rPr>
                <w:rFonts w:hint="eastAsia" w:ascii="方正书宋_GBK" w:eastAsia="方正书宋_GBK"/>
                <w:sz w:val="21"/>
                <w:szCs w:val="21"/>
              </w:rPr>
              <w:t>亲情关爱</w:t>
            </w:r>
            <w:r>
              <w:rPr>
                <w:rFonts w:hint="cs" w:ascii="方正书宋_GBK" w:eastAsia="方正书宋_GBK"/>
                <w:sz w:val="21"/>
                <w:szCs w:val="21"/>
              </w:rPr>
              <w:t>”</w:t>
            </w:r>
            <w:r>
              <w:rPr>
                <w:rFonts w:hint="eastAsia" w:ascii="方正书宋_GBK" w:eastAsia="方正书宋_GBK"/>
                <w:sz w:val="21"/>
                <w:szCs w:val="21"/>
              </w:rPr>
              <w:t>帮扶覆盖面</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4</w:t>
            </w:r>
            <w:r>
              <w:rPr>
                <w:rFonts w:hint="eastAsia" w:ascii="方正书宋_GBK" w:eastAsia="方正书宋_GBK"/>
                <w:b/>
                <w:sz w:val="21"/>
                <w:szCs w:val="21"/>
              </w:rPr>
              <w:t>、计划生育服务</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123</w:t>
            </w:r>
            <w:r>
              <w:rPr>
                <w:rFonts w:hint="eastAsia" w:ascii="方正书宋_GBK" w:eastAsia="方正书宋_GBK"/>
                <w:sz w:val="21"/>
                <w:szCs w:val="21"/>
                <w:lang w:val="en-US" w:eastAsia="zh-CN"/>
              </w:rPr>
              <w:t>.</w:t>
            </w:r>
            <w:r>
              <w:rPr>
                <w:rFonts w:ascii="方正书宋_GBK" w:eastAsia="方正书宋_GBK"/>
                <w:sz w:val="21"/>
                <w:szCs w:val="21"/>
              </w:rPr>
              <w:t>85</w:t>
            </w: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免费为农村计划怀孕夫妇实行孕前优生健康检查；免费为公民提供计划生育避孕节育基本技术服务；免费为农村已婚育龄妇女提供生殖健康检查服务。</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改善我县农村计划怀孕夫妇健康状况，有效降低出生</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缺陷发生风险；为各类育龄人群提供安全、有效避孕节育技术服务；健全完善流动人口管理机制。</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生殖健康服务覆盖率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免费孕前优生健康检查目标人群覆盖</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&lt;70%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免费计划生育基本服务项目覆盖率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&lt;70%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流动人口计划生育服务管理信息反馈率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四、中医药</w:t>
            </w:r>
          </w:p>
        </w:tc>
        <w:tc>
          <w:tcPr>
            <w:tcW w:w="1276" w:type="dxa"/>
            <w:shd w:val="clear" w:color="auto" w:fill="auto"/>
            <w:vAlign w:val="center"/>
          </w:tcPr>
          <w:p>
            <w:pPr>
              <w:spacing w:line="300" w:lineRule="exact"/>
              <w:jc w:val="left"/>
              <w:rPr>
                <w:rFonts w:ascii="方正书宋_GBK" w:eastAsia="方正书宋_GBK"/>
                <w:sz w:val="21"/>
                <w:szCs w:val="21"/>
              </w:rPr>
            </w:pP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中医药人才培养、中医药信息化建设、</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中医药文化推广等各项工作，满足各类人民群众享受民族医药服务的需求。</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加强中医药能力建设，提高中医药人员</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服务水平，有效发挥中医药在医疗保健领域的特色优势。</w:t>
            </w:r>
          </w:p>
        </w:tc>
        <w:tc>
          <w:tcPr>
            <w:tcW w:w="1417" w:type="dxa"/>
            <w:shd w:val="clear" w:color="auto" w:fill="auto"/>
            <w:vAlign w:val="center"/>
          </w:tcPr>
          <w:p>
            <w:pPr>
              <w:spacing w:line="300" w:lineRule="exact"/>
              <w:jc w:val="left"/>
              <w:rPr>
                <w:rFonts w:hint="eastAsia"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hint="eastAsia" w:ascii="方正书宋_GBK" w:eastAsia="方正书宋_GBK"/>
                <w:sz w:val="21"/>
                <w:szCs w:val="21"/>
              </w:rPr>
            </w:pPr>
          </w:p>
        </w:tc>
        <w:tc>
          <w:tcPr>
            <w:tcW w:w="737" w:type="dxa"/>
            <w:shd w:val="clear" w:color="auto" w:fill="auto"/>
            <w:vAlign w:val="center"/>
          </w:tcPr>
          <w:p>
            <w:pPr>
              <w:spacing w:line="300" w:lineRule="exact"/>
              <w:jc w:val="center"/>
              <w:rPr>
                <w:rFonts w:hint="eastAsia"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1</w:t>
            </w:r>
            <w:r>
              <w:rPr>
                <w:rFonts w:hint="eastAsia" w:ascii="方正书宋_GBK" w:eastAsia="方正书宋_GBK"/>
                <w:b/>
                <w:sz w:val="21"/>
                <w:szCs w:val="21"/>
              </w:rPr>
              <w:t>、中医药人才队伍和科研能力建设</w:t>
            </w:r>
          </w:p>
        </w:tc>
        <w:tc>
          <w:tcPr>
            <w:tcW w:w="1276" w:type="dxa"/>
            <w:vMerge w:val="restart"/>
            <w:shd w:val="clear" w:color="auto" w:fill="auto"/>
            <w:vAlign w:val="center"/>
          </w:tcPr>
          <w:p>
            <w:pPr>
              <w:spacing w:line="300" w:lineRule="exact"/>
              <w:jc w:val="left"/>
              <w:rPr>
                <w:rFonts w:ascii="方正书宋_GBK" w:eastAsia="方正书宋_GBK"/>
                <w:sz w:val="21"/>
                <w:szCs w:val="21"/>
              </w:rPr>
            </w:pP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培养具有扎实中医药理论功底和较强辩证施治能力的中医临床技术人</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员，面向基层医疗机构推广中医药适宜技术。</w:t>
            </w: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提高各级各类中医药人才的施治能力。</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培养优秀中医临床人才数量</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3</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2</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中医药信息化建设任务完成率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2</w:t>
            </w:r>
            <w:r>
              <w:rPr>
                <w:rFonts w:hint="eastAsia" w:ascii="方正书宋_GBK" w:eastAsia="方正书宋_GBK"/>
                <w:b/>
                <w:sz w:val="21"/>
                <w:szCs w:val="21"/>
              </w:rPr>
              <w:t>、中医药推广及文化宣传</w:t>
            </w:r>
          </w:p>
        </w:tc>
        <w:tc>
          <w:tcPr>
            <w:tcW w:w="1276" w:type="dxa"/>
            <w:shd w:val="clear" w:color="auto" w:fill="auto"/>
            <w:vAlign w:val="center"/>
          </w:tcPr>
          <w:p>
            <w:pPr>
              <w:spacing w:line="300" w:lineRule="exact"/>
              <w:jc w:val="left"/>
              <w:rPr>
                <w:rFonts w:ascii="方正书宋_GBK" w:eastAsia="方正书宋_GBK"/>
                <w:sz w:val="21"/>
                <w:szCs w:val="21"/>
              </w:rPr>
            </w:pPr>
          </w:p>
        </w:tc>
        <w:tc>
          <w:tcPr>
            <w:tcW w:w="297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构建中医药核心价值体系，开展中医药文化传播与知识普及。</w:t>
            </w:r>
          </w:p>
        </w:tc>
        <w:tc>
          <w:tcPr>
            <w:tcW w:w="297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提升人民群众中医养生保健素养和健康水准。</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中医药文化传播与知识普及活动完成率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3</w:t>
            </w:r>
            <w:r>
              <w:rPr>
                <w:rFonts w:hint="eastAsia" w:ascii="方正书宋_GBK" w:eastAsia="方正书宋_GBK"/>
                <w:b/>
                <w:sz w:val="21"/>
                <w:szCs w:val="21"/>
              </w:rPr>
              <w:t>、中医药服务能力建设</w:t>
            </w:r>
          </w:p>
        </w:tc>
        <w:tc>
          <w:tcPr>
            <w:tcW w:w="1276" w:type="dxa"/>
            <w:vMerge w:val="restart"/>
            <w:shd w:val="clear" w:color="auto" w:fill="auto"/>
            <w:vAlign w:val="center"/>
          </w:tcPr>
          <w:p>
            <w:pPr>
              <w:spacing w:line="300" w:lineRule="exact"/>
              <w:jc w:val="left"/>
              <w:rPr>
                <w:rFonts w:ascii="方正书宋_GBK" w:eastAsia="方正书宋_GBK"/>
                <w:sz w:val="21"/>
                <w:szCs w:val="21"/>
              </w:rPr>
            </w:pP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培育和建设具有明显中医特色的重点专科，加强中医医疗机构信息化建设。</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提高中医药服务水平和救治能力，改善群众接受中医</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药服务的软硬件环境</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建设中医医疗重点专科数量</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40%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患者满意度</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五、卫生计生政务</w:t>
            </w:r>
          </w:p>
        </w:tc>
        <w:tc>
          <w:tcPr>
            <w:tcW w:w="1276" w:type="dxa"/>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16</w:t>
            </w:r>
          </w:p>
        </w:tc>
        <w:tc>
          <w:tcPr>
            <w:tcW w:w="2976"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拟定卫生计生改革与发展目标、</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规划，组织指导相关工作开展，承担政务公开和业务宣传工作，加强卫生计生能力建设。</w:t>
            </w:r>
          </w:p>
        </w:tc>
        <w:tc>
          <w:tcPr>
            <w:tcW w:w="297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保障卫生计生事业稳定发展。</w:t>
            </w:r>
          </w:p>
        </w:tc>
        <w:tc>
          <w:tcPr>
            <w:tcW w:w="1417" w:type="dxa"/>
            <w:shd w:val="clear" w:color="auto" w:fill="auto"/>
            <w:vAlign w:val="center"/>
          </w:tcPr>
          <w:p>
            <w:pPr>
              <w:spacing w:line="300" w:lineRule="exact"/>
              <w:jc w:val="left"/>
              <w:rPr>
                <w:rFonts w:hint="eastAsia"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c>
          <w:tcPr>
            <w:tcW w:w="737" w:type="dxa"/>
            <w:shd w:val="clear" w:color="auto" w:fill="auto"/>
            <w:vAlign w:val="center"/>
          </w:tcPr>
          <w:p>
            <w:pPr>
              <w:spacing w:line="300" w:lineRule="exact"/>
              <w:jc w:val="center"/>
              <w:rPr>
                <w:rFonts w:hint="eastAsia" w:ascii="方正书宋_GBK" w:eastAsia="方正书宋_GBK"/>
                <w:sz w:val="21"/>
                <w:szCs w:val="21"/>
              </w:rPr>
            </w:pPr>
          </w:p>
        </w:tc>
        <w:tc>
          <w:tcPr>
            <w:tcW w:w="737" w:type="dxa"/>
            <w:shd w:val="clear" w:color="auto" w:fill="auto"/>
            <w:vAlign w:val="center"/>
          </w:tcPr>
          <w:p>
            <w:pPr>
              <w:spacing w:line="300" w:lineRule="exact"/>
              <w:jc w:val="center"/>
              <w:rPr>
                <w:rFonts w:hint="eastAsia" w:ascii="方正书宋_GBK" w:eastAsia="方正书宋_GBK"/>
                <w:sz w:val="21"/>
                <w:szCs w:val="21"/>
              </w:rPr>
            </w:pPr>
          </w:p>
        </w:tc>
        <w:tc>
          <w:tcPr>
            <w:tcW w:w="737" w:type="dxa"/>
            <w:shd w:val="clear" w:color="auto" w:fill="auto"/>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1</w:t>
            </w:r>
            <w:r>
              <w:rPr>
                <w:rFonts w:hint="eastAsia" w:ascii="方正书宋_GBK" w:eastAsia="方正书宋_GBK"/>
                <w:b/>
                <w:sz w:val="21"/>
                <w:szCs w:val="21"/>
              </w:rPr>
              <w:t>、卫生计生人才队伍及科研能力建设</w:t>
            </w:r>
          </w:p>
        </w:tc>
        <w:tc>
          <w:tcPr>
            <w:tcW w:w="1276" w:type="dxa"/>
            <w:shd w:val="clear" w:color="auto" w:fill="auto"/>
            <w:vAlign w:val="center"/>
          </w:tcPr>
          <w:p>
            <w:pPr>
              <w:spacing w:line="300" w:lineRule="exact"/>
              <w:jc w:val="left"/>
              <w:rPr>
                <w:rFonts w:ascii="方正书宋_GBK" w:eastAsia="方正书宋_GBK"/>
                <w:sz w:val="21"/>
                <w:szCs w:val="21"/>
              </w:rPr>
            </w:pPr>
          </w:p>
        </w:tc>
        <w:tc>
          <w:tcPr>
            <w:tcW w:w="297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开展卫生计生人才培训，组织继续医学教育和适宜技术推广等工作。</w:t>
            </w:r>
          </w:p>
        </w:tc>
        <w:tc>
          <w:tcPr>
            <w:tcW w:w="297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提高全县卫生计生人才队伍服务水平和卫生计生机构科研能力。</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推广基层医疗适宜技术项数</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6</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5</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2</w:t>
            </w:r>
            <w:r>
              <w:rPr>
                <w:rFonts w:hint="eastAsia" w:ascii="方正书宋_GBK" w:eastAsia="方正书宋_GBK"/>
                <w:b/>
                <w:sz w:val="21"/>
                <w:szCs w:val="21"/>
              </w:rPr>
              <w:t>、卫生计生综合监督</w:t>
            </w:r>
          </w:p>
        </w:tc>
        <w:tc>
          <w:tcPr>
            <w:tcW w:w="1276" w:type="dxa"/>
            <w:shd w:val="clear" w:color="auto" w:fill="auto"/>
            <w:vAlign w:val="center"/>
          </w:tcPr>
          <w:p>
            <w:pPr>
              <w:spacing w:line="300" w:lineRule="exact"/>
              <w:jc w:val="left"/>
              <w:rPr>
                <w:rFonts w:ascii="方正书宋_GBK" w:eastAsia="方正书宋_GBK"/>
                <w:sz w:val="21"/>
                <w:szCs w:val="21"/>
              </w:rPr>
            </w:pPr>
          </w:p>
        </w:tc>
        <w:tc>
          <w:tcPr>
            <w:tcW w:w="297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保障卫生计生法律法规的落实，提升卫生计生工作规范化和法制化水平，保障人民群众卫生计生权益。</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职业卫生服务机构考核率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100%</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3</w:t>
            </w:r>
            <w:r>
              <w:rPr>
                <w:rFonts w:hint="eastAsia" w:ascii="方正书宋_GBK" w:eastAsia="方正书宋_GBK"/>
                <w:b/>
                <w:sz w:val="21"/>
                <w:szCs w:val="21"/>
              </w:rPr>
              <w:t>、卫生计生综合业务管理</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8</w:t>
            </w:r>
            <w:r>
              <w:rPr>
                <w:rFonts w:hint="eastAsia" w:ascii="方正书宋_GBK" w:eastAsia="方正书宋_GBK"/>
                <w:sz w:val="21"/>
                <w:szCs w:val="21"/>
                <w:lang w:val="en-US" w:eastAsia="zh-CN"/>
              </w:rPr>
              <w:t>.</w:t>
            </w:r>
            <w:r>
              <w:rPr>
                <w:rFonts w:ascii="方正书宋_GBK" w:eastAsia="方正书宋_GBK"/>
                <w:sz w:val="21"/>
                <w:szCs w:val="21"/>
              </w:rPr>
              <w:t>5</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开展卫生计生规划、资源配置、统计、法制、政策研究、宣传教育</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、舆情监测等工作。</w:t>
            </w:r>
          </w:p>
        </w:tc>
        <w:tc>
          <w:tcPr>
            <w:tcW w:w="2976" w:type="dxa"/>
            <w:vMerge w:val="restart"/>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为顺利开展各项卫生计生工作提供有效保障，确保</w:t>
            </w:r>
          </w:p>
          <w:p>
            <w:pPr>
              <w:spacing w:line="300" w:lineRule="exact"/>
              <w:jc w:val="left"/>
              <w:rPr>
                <w:rFonts w:hint="eastAsia" w:ascii="方正书宋_GBK" w:eastAsia="方正书宋_GBK"/>
                <w:sz w:val="21"/>
                <w:szCs w:val="21"/>
              </w:rPr>
            </w:pPr>
            <w:r>
              <w:rPr>
                <w:rFonts w:hint="eastAsia" w:ascii="方正书宋_GBK" w:eastAsia="方正书宋_GBK"/>
                <w:sz w:val="21"/>
                <w:szCs w:val="21"/>
              </w:rPr>
              <w:t>卫生计生事业协调可持续发展。</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卫生计生宣传教育完成率</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60%</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完成卫生系统全年法律咨询培训次数</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5</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4</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3</w:t>
            </w:r>
          </w:p>
        </w:tc>
        <w:tc>
          <w:tcPr>
            <w:tcW w:w="737" w:type="dxa"/>
            <w:shd w:val="clear" w:color="auto" w:fill="auto"/>
            <w:vAlign w:val="center"/>
          </w:tcPr>
          <w:p>
            <w:pPr>
              <w:spacing w:line="300" w:lineRule="exact"/>
              <w:jc w:val="center"/>
              <w:rPr>
                <w:rFonts w:ascii="方正书宋_GBK" w:eastAsia="方正书宋_GBK"/>
                <w:sz w:val="21"/>
                <w:szCs w:val="21"/>
              </w:rPr>
            </w:pPr>
            <w:r>
              <w:rPr>
                <w:rFonts w:ascii="方正书宋_GBK" w:eastAsia="方正书宋_GBK"/>
                <w:sz w:val="21"/>
                <w:szCs w:val="21"/>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sz w:val="21"/>
                <w:szCs w:val="21"/>
              </w:rPr>
            </w:pPr>
            <w:r>
              <w:rPr>
                <w:rFonts w:hint="eastAsia" w:ascii="方正书宋_GBK" w:eastAsia="方正书宋_GBK"/>
                <w:b/>
                <w:sz w:val="21"/>
                <w:szCs w:val="21"/>
              </w:rPr>
              <w:t>　　</w:t>
            </w:r>
            <w:r>
              <w:rPr>
                <w:rFonts w:ascii="方正书宋_GBK" w:eastAsia="方正书宋_GBK"/>
                <w:b/>
                <w:sz w:val="21"/>
                <w:szCs w:val="21"/>
              </w:rPr>
              <w:t>4</w:t>
            </w:r>
            <w:r>
              <w:rPr>
                <w:rFonts w:hint="eastAsia" w:ascii="方正书宋_GBK" w:eastAsia="方正书宋_GBK"/>
                <w:b/>
                <w:sz w:val="21"/>
                <w:szCs w:val="21"/>
              </w:rPr>
              <w:t>、卫生计生综合事务管理</w:t>
            </w:r>
          </w:p>
        </w:tc>
        <w:tc>
          <w:tcPr>
            <w:tcW w:w="1276" w:type="dxa"/>
            <w:vMerge w:val="restart"/>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7</w:t>
            </w:r>
            <w:r>
              <w:rPr>
                <w:rFonts w:hint="eastAsia" w:ascii="方正书宋_GBK" w:eastAsia="方正书宋_GBK"/>
                <w:sz w:val="21"/>
                <w:szCs w:val="21"/>
                <w:lang w:val="en-US" w:eastAsia="zh-CN"/>
              </w:rPr>
              <w:t>.</w:t>
            </w:r>
            <w:r>
              <w:rPr>
                <w:rFonts w:ascii="方正书宋_GBK" w:eastAsia="方正书宋_GBK"/>
                <w:sz w:val="21"/>
                <w:szCs w:val="21"/>
              </w:rPr>
              <w:t>5</w:t>
            </w: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开展卫生计生信息化、基础设施、装备管理与配置等各项工作。</w:t>
            </w:r>
          </w:p>
        </w:tc>
        <w:tc>
          <w:tcPr>
            <w:tcW w:w="2976" w:type="dxa"/>
            <w:vMerge w:val="restart"/>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提高我县卫生计生系统软硬件服务能力。</w:t>
            </w: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软硬件正常服务情况</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是</w:t>
            </w:r>
          </w:p>
        </w:tc>
        <w:tc>
          <w:tcPr>
            <w:tcW w:w="737" w:type="dxa"/>
            <w:shd w:val="clear" w:color="auto" w:fill="auto"/>
            <w:vAlign w:val="center"/>
          </w:tcPr>
          <w:p>
            <w:pPr>
              <w:spacing w:line="300" w:lineRule="exact"/>
              <w:jc w:val="center"/>
              <w:rPr>
                <w:rFonts w:ascii="方正书宋_GBK" w:eastAsia="方正书宋_GBK"/>
                <w:sz w:val="21"/>
                <w:szCs w:val="21"/>
              </w:rPr>
            </w:pPr>
            <w:r>
              <w:rPr>
                <w:rFonts w:hint="cs" w:ascii="方正书宋_GBK" w:eastAsia="方正书宋_GBK"/>
                <w:sz w:val="21"/>
                <w:szCs w:val="21"/>
              </w:rPr>
              <w:t>——</w:t>
            </w:r>
          </w:p>
        </w:tc>
        <w:tc>
          <w:tcPr>
            <w:tcW w:w="737" w:type="dxa"/>
            <w:shd w:val="clear" w:color="auto" w:fill="auto"/>
            <w:vAlign w:val="center"/>
          </w:tcPr>
          <w:p>
            <w:pPr>
              <w:spacing w:line="300" w:lineRule="exact"/>
              <w:jc w:val="center"/>
              <w:rPr>
                <w:rFonts w:ascii="方正书宋_GBK" w:eastAsia="方正书宋_GBK"/>
                <w:sz w:val="21"/>
                <w:szCs w:val="21"/>
              </w:rPr>
            </w:pPr>
            <w:r>
              <w:rPr>
                <w:rFonts w:hint="cs" w:ascii="方正书宋_GBK" w:eastAsia="方正书宋_GBK"/>
                <w:sz w:val="21"/>
                <w:szCs w:val="21"/>
              </w:rPr>
              <w:t>——</w:t>
            </w:r>
          </w:p>
        </w:tc>
        <w:tc>
          <w:tcPr>
            <w:tcW w:w="737" w:type="dxa"/>
            <w:shd w:val="clear" w:color="auto" w:fill="auto"/>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sz w:val="21"/>
                <w:szCs w:val="21"/>
              </w:rPr>
            </w:pPr>
          </w:p>
        </w:tc>
        <w:tc>
          <w:tcPr>
            <w:tcW w:w="1276" w:type="dxa"/>
            <w:vMerge w:val="continue"/>
            <w:shd w:val="clear" w:color="auto" w:fill="auto"/>
            <w:vAlign w:val="center"/>
          </w:tcPr>
          <w:p>
            <w:pPr>
              <w:spacing w:line="300" w:lineRule="exact"/>
              <w:jc w:val="left"/>
              <w:rPr>
                <w:rFonts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2976" w:type="dxa"/>
            <w:vMerge w:val="continue"/>
            <w:shd w:val="clear" w:color="auto" w:fill="auto"/>
            <w:vAlign w:val="center"/>
          </w:tcPr>
          <w:p>
            <w:pPr>
              <w:spacing w:line="300" w:lineRule="exact"/>
              <w:jc w:val="left"/>
              <w:rPr>
                <w:rFonts w:hint="eastAsia" w:ascii="方正书宋_GBK" w:eastAsia="方正书宋_GBK"/>
                <w:sz w:val="21"/>
                <w:szCs w:val="21"/>
              </w:rPr>
            </w:pPr>
          </w:p>
        </w:tc>
        <w:tc>
          <w:tcPr>
            <w:tcW w:w="1417"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基层医疗卫生机构信息化系统覆盖率</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p>
        </w:tc>
        <w:tc>
          <w:tcPr>
            <w:tcW w:w="737" w:type="dxa"/>
            <w:shd w:val="clear" w:color="auto" w:fill="auto"/>
            <w:vAlign w:val="center"/>
          </w:tcPr>
          <w:p>
            <w:pPr>
              <w:spacing w:line="300" w:lineRule="exact"/>
              <w:jc w:val="center"/>
              <w:rPr>
                <w:rFonts w:hint="c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80%</w:t>
            </w:r>
          </w:p>
        </w:tc>
        <w:tc>
          <w:tcPr>
            <w:tcW w:w="737" w:type="dxa"/>
            <w:shd w:val="clear" w:color="auto" w:fill="auto"/>
            <w:vAlign w:val="center"/>
          </w:tcPr>
          <w:p>
            <w:pPr>
              <w:spacing w:line="300" w:lineRule="exact"/>
              <w:jc w:val="center"/>
              <w:rPr>
                <w:rFonts w:hint="c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70%</w:t>
            </w:r>
          </w:p>
        </w:tc>
        <w:tc>
          <w:tcPr>
            <w:tcW w:w="737" w:type="dxa"/>
            <w:shd w:val="clear" w:color="auto" w:fill="auto"/>
            <w:vAlign w:val="center"/>
          </w:tcPr>
          <w:p>
            <w:pPr>
              <w:spacing w:line="300" w:lineRule="exact"/>
              <w:jc w:val="center"/>
              <w:rPr>
                <w:rFonts w:hint="eastAsia" w:ascii="方正书宋_GBK" w:eastAsia="方正书宋_GBK"/>
                <w:sz w:val="21"/>
                <w:szCs w:val="21"/>
              </w:rPr>
            </w:pPr>
            <w:r>
              <w:rPr>
                <w:rFonts w:ascii="方正书宋_GBK" w:eastAsia="方正书宋_GBK"/>
                <w:sz w:val="21"/>
                <w:szCs w:val="21"/>
              </w:rPr>
              <w:t>&lt;70%</w:t>
            </w:r>
          </w:p>
        </w:tc>
      </w:tr>
    </w:tbl>
    <w:p>
      <w:pPr>
        <w:spacing w:line="300" w:lineRule="exact"/>
        <w:jc w:val="left"/>
        <w:outlineLvl w:val="0"/>
        <w:rPr>
          <w:sz w:val="24"/>
          <w:szCs w:val="24"/>
        </w:rPr>
        <w:sectPr>
          <w:pgSz w:w="16839" w:h="11907" w:orient="landscape"/>
          <w:pgMar w:top="1020" w:right="1361" w:bottom="1020" w:left="1361" w:header="851" w:footer="992" w:gutter="0"/>
          <w:cols w:space="425" w:num="1"/>
          <w:docGrid w:type="lines" w:linePitch="312" w:charSpace="0"/>
        </w:sectPr>
      </w:pPr>
    </w:p>
    <w:p>
      <w:pPr>
        <w:spacing w:line="300" w:lineRule="exact"/>
        <w:jc w:val="left"/>
        <w:outlineLvl w:val="0"/>
        <w:rPr>
          <w:rFonts w:hint="eastAsia" w:cs="Times New Roman"/>
        </w:rPr>
      </w:pPr>
    </w:p>
    <w:p>
      <w:pPr>
        <w:ind w:firstLine="643" w:firstLineChars="200"/>
        <w:rPr>
          <w:rFonts w:hint="eastAsia" w:cs="仿宋_GB2312"/>
          <w:b/>
        </w:rPr>
      </w:pPr>
      <w:r>
        <w:rPr>
          <w:b/>
          <w:bCs/>
        </w:rPr>
        <w:t>6</w:t>
      </w:r>
      <w:r>
        <w:rPr>
          <w:rFonts w:hint="eastAsia" w:cs="仿宋_GB2312"/>
          <w:b/>
        </w:rPr>
        <w:t>、政府采购预算情况</w:t>
      </w:r>
    </w:p>
    <w:p>
      <w:pPr>
        <w:ind w:firstLine="640" w:firstLineChars="200"/>
        <w:rPr>
          <w:rFonts w:hint="eastAsia" w:ascii="仿宋_GB2312"/>
        </w:rPr>
      </w:pPr>
      <w:r>
        <w:rPr>
          <w:rFonts w:hint="eastAsia" w:ascii="仿宋_GB2312"/>
        </w:rPr>
        <w:t>201</w:t>
      </w:r>
      <w:r>
        <w:rPr>
          <w:rFonts w:hint="eastAsia" w:ascii="仿宋_GB2312"/>
          <w:lang w:val="en-US" w:eastAsia="zh-CN"/>
        </w:rPr>
        <w:t>9</w:t>
      </w:r>
      <w:r>
        <w:rPr>
          <w:rFonts w:hint="eastAsia" w:ascii="仿宋_GB2312"/>
        </w:rPr>
        <w:t>年，我部门安排政府采购预算</w:t>
      </w:r>
      <w:r>
        <w:rPr>
          <w:rFonts w:hint="eastAsia" w:ascii="仿宋_GB2312"/>
          <w:highlight w:val="none"/>
          <w:lang w:val="en-US" w:eastAsia="zh-CN"/>
        </w:rPr>
        <w:t>80</w:t>
      </w:r>
      <w:r>
        <w:rPr>
          <w:rFonts w:hint="eastAsia" w:ascii="仿宋_GB2312"/>
        </w:rPr>
        <w:t>万元，其中一般公共预算拨款</w:t>
      </w:r>
      <w:r>
        <w:rPr>
          <w:rFonts w:hint="eastAsia" w:ascii="仿宋_GB2312"/>
          <w:highlight w:val="none"/>
          <w:lang w:val="en-US" w:eastAsia="zh-CN"/>
        </w:rPr>
        <w:t>80</w:t>
      </w:r>
      <w:r>
        <w:rPr>
          <w:rFonts w:hint="eastAsia" w:ascii="仿宋_GB2312"/>
        </w:rPr>
        <w:t>万元,详见下表。</w:t>
      </w:r>
    </w:p>
    <w:tbl>
      <w:tblPr>
        <w:tblStyle w:val="10"/>
        <w:tblpPr w:leftFromText="180" w:rightFromText="180" w:vertAnchor="text" w:horzAnchor="page" w:tblpX="1456" w:tblpY="230"/>
        <w:tblOverlap w:val="never"/>
        <w:tblW w:w="145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6"/>
        <w:gridCol w:w="1161"/>
        <w:gridCol w:w="878"/>
        <w:gridCol w:w="858"/>
        <w:gridCol w:w="649"/>
        <w:gridCol w:w="649"/>
        <w:gridCol w:w="1161"/>
        <w:gridCol w:w="1169"/>
        <w:gridCol w:w="1169"/>
        <w:gridCol w:w="1169"/>
        <w:gridCol w:w="850"/>
        <w:gridCol w:w="854"/>
        <w:gridCol w:w="854"/>
        <w:gridCol w:w="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trPr>
        <w:tc>
          <w:tcPr>
            <w:tcW w:w="769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1"/>
                <w:szCs w:val="21"/>
                <w:lang w:eastAsia="zh-CN"/>
              </w:rPr>
            </w:pPr>
            <w:r>
              <w:rPr>
                <w:rFonts w:ascii="方正小标宋_GBK" w:eastAsia="方正小标宋_GBK"/>
                <w:sz w:val="21"/>
                <w:szCs w:val="21"/>
              </w:rPr>
              <w:t>361</w:t>
            </w:r>
            <w:r>
              <w:rPr>
                <w:rFonts w:hint="eastAsia" w:ascii="方正小标宋_GBK" w:eastAsia="方正小标宋_GBK"/>
                <w:sz w:val="21"/>
                <w:szCs w:val="21"/>
              </w:rPr>
              <w:t>饶阳县卫生</w:t>
            </w:r>
            <w:r>
              <w:rPr>
                <w:rFonts w:hint="eastAsia" w:ascii="方正小标宋_GBK" w:eastAsia="方正小标宋_GBK"/>
                <w:sz w:val="21"/>
                <w:szCs w:val="21"/>
                <w:lang w:eastAsia="zh-CN"/>
              </w:rPr>
              <w:t>健康局</w:t>
            </w:r>
          </w:p>
        </w:tc>
        <w:tc>
          <w:tcPr>
            <w:tcW w:w="687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w:t>
            </w:r>
            <w:r>
              <w:rPr>
                <w:rFonts w:hint="eastAsia" w:ascii="方正书宋_GBK" w:eastAsia="方正书宋_GBK"/>
                <w:sz w:val="21"/>
                <w:szCs w:val="21"/>
                <w:lang w:eastAsia="zh-CN"/>
              </w:rPr>
              <w:t>万</w:t>
            </w:r>
            <w:r>
              <w:rPr>
                <w:rFonts w:hint="eastAsia" w:ascii="方正书宋_GBK" w:eastAsia="方正书宋_GBK"/>
                <w:sz w:val="21"/>
                <w:szCs w:val="21"/>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trPr>
        <w:tc>
          <w:tcPr>
            <w:tcW w:w="3497" w:type="dxa"/>
            <w:gridSpan w:val="2"/>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政府采购项目来源</w:t>
            </w:r>
          </w:p>
        </w:tc>
        <w:tc>
          <w:tcPr>
            <w:tcW w:w="878"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采购物品名称</w:t>
            </w:r>
          </w:p>
        </w:tc>
        <w:tc>
          <w:tcPr>
            <w:tcW w:w="858"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政府采购目录序号</w:t>
            </w:r>
          </w:p>
        </w:tc>
        <w:tc>
          <w:tcPr>
            <w:tcW w:w="649"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数量</w:t>
            </w:r>
            <w:r>
              <w:rPr>
                <w:rFonts w:ascii="方正书宋_GBK" w:eastAsia="方正书宋_GBK"/>
                <w:b/>
                <w:sz w:val="21"/>
                <w:szCs w:val="21"/>
              </w:rPr>
              <w:t xml:space="preserve">  </w:t>
            </w:r>
            <w:r>
              <w:rPr>
                <w:rFonts w:hint="eastAsia" w:ascii="方正书宋_GBK" w:eastAsia="方正书宋_GBK"/>
                <w:b/>
                <w:sz w:val="21"/>
                <w:szCs w:val="21"/>
              </w:rPr>
              <w:t>单位</w:t>
            </w:r>
          </w:p>
        </w:tc>
        <w:tc>
          <w:tcPr>
            <w:tcW w:w="649"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数量</w:t>
            </w:r>
          </w:p>
        </w:tc>
        <w:tc>
          <w:tcPr>
            <w:tcW w:w="1161"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单价</w:t>
            </w:r>
          </w:p>
        </w:tc>
        <w:tc>
          <w:tcPr>
            <w:tcW w:w="6876" w:type="dxa"/>
            <w:gridSpan w:val="7"/>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trPr>
        <w:tc>
          <w:tcPr>
            <w:tcW w:w="2336"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1161"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预算资金</w:t>
            </w:r>
          </w:p>
        </w:tc>
        <w:tc>
          <w:tcPr>
            <w:tcW w:w="878" w:type="dxa"/>
            <w:vMerge w:val="continue"/>
            <w:shd w:val="clear" w:color="auto" w:fill="auto"/>
            <w:vAlign w:val="center"/>
          </w:tcPr>
          <w:p>
            <w:pPr>
              <w:spacing w:line="300" w:lineRule="exact"/>
              <w:jc w:val="left"/>
              <w:outlineLvl w:val="0"/>
              <w:rPr>
                <w:sz w:val="21"/>
                <w:szCs w:val="21"/>
              </w:rPr>
            </w:pPr>
          </w:p>
        </w:tc>
        <w:tc>
          <w:tcPr>
            <w:tcW w:w="858" w:type="dxa"/>
            <w:vMerge w:val="continue"/>
            <w:shd w:val="clear" w:color="auto" w:fill="auto"/>
            <w:vAlign w:val="center"/>
          </w:tcPr>
          <w:p>
            <w:pPr>
              <w:spacing w:line="300" w:lineRule="exact"/>
              <w:jc w:val="left"/>
              <w:outlineLvl w:val="0"/>
              <w:rPr>
                <w:sz w:val="21"/>
                <w:szCs w:val="21"/>
              </w:rPr>
            </w:pPr>
          </w:p>
        </w:tc>
        <w:tc>
          <w:tcPr>
            <w:tcW w:w="649" w:type="dxa"/>
            <w:vMerge w:val="continue"/>
            <w:shd w:val="clear" w:color="auto" w:fill="auto"/>
            <w:vAlign w:val="center"/>
          </w:tcPr>
          <w:p>
            <w:pPr>
              <w:spacing w:line="300" w:lineRule="exact"/>
              <w:jc w:val="left"/>
              <w:outlineLvl w:val="0"/>
              <w:rPr>
                <w:sz w:val="21"/>
                <w:szCs w:val="21"/>
              </w:rPr>
            </w:pPr>
          </w:p>
        </w:tc>
        <w:tc>
          <w:tcPr>
            <w:tcW w:w="649" w:type="dxa"/>
            <w:vMerge w:val="continue"/>
            <w:shd w:val="clear" w:color="auto" w:fill="auto"/>
            <w:vAlign w:val="center"/>
          </w:tcPr>
          <w:p>
            <w:pPr>
              <w:spacing w:line="300" w:lineRule="exact"/>
              <w:jc w:val="left"/>
              <w:outlineLvl w:val="0"/>
              <w:rPr>
                <w:sz w:val="21"/>
                <w:szCs w:val="21"/>
              </w:rPr>
            </w:pPr>
          </w:p>
        </w:tc>
        <w:tc>
          <w:tcPr>
            <w:tcW w:w="1161" w:type="dxa"/>
            <w:vMerge w:val="continue"/>
            <w:shd w:val="clear" w:color="auto" w:fill="auto"/>
            <w:vAlign w:val="center"/>
          </w:tcPr>
          <w:p>
            <w:pPr>
              <w:spacing w:line="300" w:lineRule="exact"/>
              <w:jc w:val="left"/>
              <w:outlineLvl w:val="0"/>
              <w:rPr>
                <w:sz w:val="21"/>
                <w:szCs w:val="21"/>
              </w:rPr>
            </w:pPr>
          </w:p>
        </w:tc>
        <w:tc>
          <w:tcPr>
            <w:tcW w:w="1169"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总计</w:t>
            </w:r>
          </w:p>
        </w:tc>
        <w:tc>
          <w:tcPr>
            <w:tcW w:w="4896" w:type="dxa"/>
            <w:gridSpan w:val="5"/>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当年部门预算安排资金</w:t>
            </w:r>
          </w:p>
        </w:tc>
        <w:tc>
          <w:tcPr>
            <w:tcW w:w="811" w:type="dxa"/>
            <w:vMerge w:val="restart"/>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trPr>
        <w:tc>
          <w:tcPr>
            <w:tcW w:w="2336" w:type="dxa"/>
            <w:vMerge w:val="continue"/>
            <w:shd w:val="clear" w:color="auto" w:fill="auto"/>
            <w:vAlign w:val="center"/>
          </w:tcPr>
          <w:p>
            <w:pPr>
              <w:spacing w:line="300" w:lineRule="exact"/>
              <w:jc w:val="left"/>
              <w:outlineLvl w:val="0"/>
              <w:rPr>
                <w:sz w:val="21"/>
                <w:szCs w:val="21"/>
              </w:rPr>
            </w:pPr>
          </w:p>
        </w:tc>
        <w:tc>
          <w:tcPr>
            <w:tcW w:w="1161" w:type="dxa"/>
            <w:vMerge w:val="continue"/>
            <w:shd w:val="clear" w:color="auto" w:fill="auto"/>
            <w:vAlign w:val="center"/>
          </w:tcPr>
          <w:p>
            <w:pPr>
              <w:spacing w:line="300" w:lineRule="exact"/>
              <w:jc w:val="left"/>
              <w:outlineLvl w:val="0"/>
              <w:rPr>
                <w:sz w:val="21"/>
                <w:szCs w:val="21"/>
              </w:rPr>
            </w:pPr>
          </w:p>
        </w:tc>
        <w:tc>
          <w:tcPr>
            <w:tcW w:w="878" w:type="dxa"/>
            <w:vMerge w:val="continue"/>
            <w:shd w:val="clear" w:color="auto" w:fill="auto"/>
            <w:vAlign w:val="center"/>
          </w:tcPr>
          <w:p>
            <w:pPr>
              <w:spacing w:line="300" w:lineRule="exact"/>
              <w:jc w:val="left"/>
              <w:outlineLvl w:val="0"/>
              <w:rPr>
                <w:sz w:val="21"/>
                <w:szCs w:val="21"/>
              </w:rPr>
            </w:pPr>
          </w:p>
        </w:tc>
        <w:tc>
          <w:tcPr>
            <w:tcW w:w="858" w:type="dxa"/>
            <w:vMerge w:val="continue"/>
            <w:shd w:val="clear" w:color="auto" w:fill="auto"/>
            <w:vAlign w:val="center"/>
          </w:tcPr>
          <w:p>
            <w:pPr>
              <w:spacing w:line="300" w:lineRule="exact"/>
              <w:jc w:val="left"/>
              <w:outlineLvl w:val="0"/>
              <w:rPr>
                <w:sz w:val="21"/>
                <w:szCs w:val="21"/>
              </w:rPr>
            </w:pPr>
          </w:p>
        </w:tc>
        <w:tc>
          <w:tcPr>
            <w:tcW w:w="649" w:type="dxa"/>
            <w:vMerge w:val="continue"/>
            <w:shd w:val="clear" w:color="auto" w:fill="auto"/>
            <w:vAlign w:val="center"/>
          </w:tcPr>
          <w:p>
            <w:pPr>
              <w:spacing w:line="300" w:lineRule="exact"/>
              <w:jc w:val="left"/>
              <w:outlineLvl w:val="0"/>
              <w:rPr>
                <w:sz w:val="21"/>
                <w:szCs w:val="21"/>
              </w:rPr>
            </w:pPr>
          </w:p>
        </w:tc>
        <w:tc>
          <w:tcPr>
            <w:tcW w:w="649" w:type="dxa"/>
            <w:vMerge w:val="continue"/>
            <w:shd w:val="clear" w:color="auto" w:fill="auto"/>
            <w:vAlign w:val="center"/>
          </w:tcPr>
          <w:p>
            <w:pPr>
              <w:spacing w:line="300" w:lineRule="exact"/>
              <w:jc w:val="left"/>
              <w:outlineLvl w:val="0"/>
              <w:rPr>
                <w:sz w:val="21"/>
                <w:szCs w:val="21"/>
              </w:rPr>
            </w:pPr>
          </w:p>
        </w:tc>
        <w:tc>
          <w:tcPr>
            <w:tcW w:w="1161" w:type="dxa"/>
            <w:vMerge w:val="continue"/>
            <w:shd w:val="clear" w:color="auto" w:fill="auto"/>
            <w:vAlign w:val="center"/>
          </w:tcPr>
          <w:p>
            <w:pPr>
              <w:spacing w:line="300" w:lineRule="exact"/>
              <w:jc w:val="left"/>
              <w:outlineLvl w:val="0"/>
              <w:rPr>
                <w:sz w:val="21"/>
                <w:szCs w:val="21"/>
              </w:rPr>
            </w:pPr>
          </w:p>
        </w:tc>
        <w:tc>
          <w:tcPr>
            <w:tcW w:w="1169" w:type="dxa"/>
            <w:vMerge w:val="continue"/>
            <w:shd w:val="clear" w:color="auto" w:fill="auto"/>
            <w:vAlign w:val="center"/>
          </w:tcPr>
          <w:p>
            <w:pPr>
              <w:spacing w:line="300" w:lineRule="exact"/>
              <w:jc w:val="left"/>
              <w:outlineLvl w:val="0"/>
              <w:rPr>
                <w:sz w:val="21"/>
                <w:szCs w:val="21"/>
              </w:rPr>
            </w:pPr>
          </w:p>
        </w:tc>
        <w:tc>
          <w:tcPr>
            <w:tcW w:w="1169"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合计</w:t>
            </w:r>
          </w:p>
        </w:tc>
        <w:tc>
          <w:tcPr>
            <w:tcW w:w="1169"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一般公共预算拨款</w:t>
            </w:r>
          </w:p>
        </w:tc>
        <w:tc>
          <w:tcPr>
            <w:tcW w:w="850"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基金预算拨款</w:t>
            </w:r>
          </w:p>
        </w:tc>
        <w:tc>
          <w:tcPr>
            <w:tcW w:w="854"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财政专户核拨</w:t>
            </w:r>
          </w:p>
        </w:tc>
        <w:tc>
          <w:tcPr>
            <w:tcW w:w="854"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其他来源收入</w:t>
            </w:r>
          </w:p>
        </w:tc>
        <w:tc>
          <w:tcPr>
            <w:tcW w:w="811" w:type="dxa"/>
            <w:vMerge w:val="continue"/>
            <w:shd w:val="clear" w:color="auto" w:fill="auto"/>
            <w:vAlign w:val="center"/>
          </w:tcPr>
          <w:p>
            <w:pPr>
              <w:spacing w:line="300" w:lineRule="exact"/>
              <w:jc w:val="left"/>
              <w:outlineLvl w:val="0"/>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336" w:type="dxa"/>
            <w:shd w:val="clear" w:color="auto" w:fill="auto"/>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合　计</w:t>
            </w:r>
          </w:p>
        </w:tc>
        <w:tc>
          <w:tcPr>
            <w:tcW w:w="1161" w:type="dxa"/>
            <w:shd w:val="clear" w:color="auto" w:fill="auto"/>
            <w:vAlign w:val="center"/>
          </w:tcPr>
          <w:p>
            <w:pPr>
              <w:spacing w:line="300" w:lineRule="exact"/>
              <w:jc w:val="right"/>
              <w:rPr>
                <w:rFonts w:ascii="方正书宋_GBK" w:eastAsia="方正书宋_GBK"/>
                <w:b/>
                <w:sz w:val="21"/>
                <w:szCs w:val="21"/>
              </w:rPr>
            </w:pPr>
          </w:p>
        </w:tc>
        <w:tc>
          <w:tcPr>
            <w:tcW w:w="878" w:type="dxa"/>
            <w:shd w:val="clear" w:color="auto" w:fill="auto"/>
            <w:vAlign w:val="center"/>
          </w:tcPr>
          <w:p>
            <w:pPr>
              <w:spacing w:line="300" w:lineRule="exact"/>
              <w:jc w:val="left"/>
              <w:rPr>
                <w:rFonts w:ascii="方正书宋_GBK" w:eastAsia="方正书宋_GBK"/>
                <w:b/>
                <w:sz w:val="21"/>
                <w:szCs w:val="21"/>
              </w:rPr>
            </w:pPr>
          </w:p>
        </w:tc>
        <w:tc>
          <w:tcPr>
            <w:tcW w:w="858" w:type="dxa"/>
            <w:shd w:val="clear" w:color="auto" w:fill="auto"/>
            <w:vAlign w:val="center"/>
          </w:tcPr>
          <w:p>
            <w:pPr>
              <w:spacing w:line="300" w:lineRule="exact"/>
              <w:jc w:val="left"/>
              <w:rPr>
                <w:rFonts w:ascii="方正书宋_GBK" w:eastAsia="方正书宋_GBK"/>
                <w:b/>
                <w:sz w:val="21"/>
                <w:szCs w:val="21"/>
              </w:rPr>
            </w:pPr>
          </w:p>
        </w:tc>
        <w:tc>
          <w:tcPr>
            <w:tcW w:w="649" w:type="dxa"/>
            <w:shd w:val="clear" w:color="auto" w:fill="auto"/>
            <w:vAlign w:val="center"/>
          </w:tcPr>
          <w:p>
            <w:pPr>
              <w:spacing w:line="300" w:lineRule="exact"/>
              <w:jc w:val="left"/>
              <w:rPr>
                <w:rFonts w:ascii="方正书宋_GBK" w:eastAsia="方正书宋_GBK"/>
                <w:b/>
                <w:sz w:val="21"/>
                <w:szCs w:val="21"/>
              </w:rPr>
            </w:pPr>
          </w:p>
        </w:tc>
        <w:tc>
          <w:tcPr>
            <w:tcW w:w="649" w:type="dxa"/>
            <w:shd w:val="clear" w:color="auto" w:fill="auto"/>
            <w:vAlign w:val="center"/>
          </w:tcPr>
          <w:p>
            <w:pPr>
              <w:spacing w:line="300" w:lineRule="exact"/>
              <w:jc w:val="right"/>
              <w:rPr>
                <w:rFonts w:ascii="方正书宋_GBK" w:eastAsia="方正书宋_GBK"/>
                <w:b/>
                <w:sz w:val="21"/>
                <w:szCs w:val="21"/>
              </w:rPr>
            </w:pPr>
          </w:p>
        </w:tc>
        <w:tc>
          <w:tcPr>
            <w:tcW w:w="1161" w:type="dxa"/>
            <w:shd w:val="clear" w:color="auto" w:fill="auto"/>
            <w:vAlign w:val="center"/>
          </w:tcPr>
          <w:p>
            <w:pPr>
              <w:spacing w:line="300" w:lineRule="exact"/>
              <w:jc w:val="right"/>
              <w:rPr>
                <w:rFonts w:ascii="方正书宋_GBK" w:eastAsia="方正书宋_GBK"/>
                <w:b/>
                <w:sz w:val="21"/>
                <w:szCs w:val="21"/>
              </w:rPr>
            </w:pPr>
          </w:p>
        </w:tc>
        <w:tc>
          <w:tcPr>
            <w:tcW w:w="1169" w:type="dxa"/>
            <w:shd w:val="clear" w:color="auto" w:fill="auto"/>
            <w:vAlign w:val="center"/>
          </w:tcPr>
          <w:p>
            <w:pPr>
              <w:spacing w:line="300" w:lineRule="exact"/>
              <w:jc w:val="right"/>
              <w:rPr>
                <w:rFonts w:ascii="方正书宋_GBK" w:eastAsia="方正书宋_GBK"/>
                <w:b/>
                <w:sz w:val="21"/>
                <w:szCs w:val="21"/>
              </w:rPr>
            </w:pPr>
            <w:r>
              <w:rPr>
                <w:rFonts w:ascii="方正书宋_GBK" w:eastAsia="方正书宋_GBK"/>
                <w:b/>
                <w:sz w:val="21"/>
                <w:szCs w:val="21"/>
              </w:rPr>
              <w:t>80</w:t>
            </w:r>
          </w:p>
        </w:tc>
        <w:tc>
          <w:tcPr>
            <w:tcW w:w="1169" w:type="dxa"/>
            <w:shd w:val="clear" w:color="auto" w:fill="auto"/>
            <w:textDirection w:val="lrTb"/>
            <w:vAlign w:val="center"/>
          </w:tcPr>
          <w:p>
            <w:pPr>
              <w:spacing w:line="300" w:lineRule="exact"/>
              <w:jc w:val="right"/>
              <w:rPr>
                <w:rFonts w:ascii="方正书宋_GBK" w:eastAsia="方正书宋_GBK"/>
                <w:b/>
                <w:sz w:val="21"/>
                <w:szCs w:val="21"/>
              </w:rPr>
            </w:pPr>
            <w:r>
              <w:rPr>
                <w:rFonts w:ascii="方正书宋_GBK" w:eastAsia="方正书宋_GBK"/>
                <w:b/>
                <w:sz w:val="21"/>
                <w:szCs w:val="21"/>
              </w:rPr>
              <w:t>80</w:t>
            </w:r>
          </w:p>
        </w:tc>
        <w:tc>
          <w:tcPr>
            <w:tcW w:w="1169" w:type="dxa"/>
            <w:shd w:val="clear" w:color="auto" w:fill="auto"/>
            <w:textDirection w:val="lrTb"/>
            <w:vAlign w:val="center"/>
          </w:tcPr>
          <w:p>
            <w:pPr>
              <w:spacing w:line="300" w:lineRule="exact"/>
              <w:jc w:val="right"/>
              <w:rPr>
                <w:rFonts w:ascii="方正书宋_GBK" w:eastAsia="方正书宋_GBK"/>
                <w:b/>
                <w:sz w:val="21"/>
                <w:szCs w:val="21"/>
              </w:rPr>
            </w:pPr>
            <w:r>
              <w:rPr>
                <w:rFonts w:ascii="方正书宋_GBK" w:eastAsia="方正书宋_GBK"/>
                <w:b/>
                <w:sz w:val="21"/>
                <w:szCs w:val="21"/>
              </w:rPr>
              <w:t>80</w:t>
            </w:r>
          </w:p>
        </w:tc>
        <w:tc>
          <w:tcPr>
            <w:tcW w:w="850" w:type="dxa"/>
            <w:shd w:val="clear" w:color="auto" w:fill="auto"/>
            <w:vAlign w:val="center"/>
          </w:tcPr>
          <w:p>
            <w:pPr>
              <w:spacing w:line="300" w:lineRule="exact"/>
              <w:jc w:val="right"/>
              <w:rPr>
                <w:rFonts w:ascii="方正书宋_GBK" w:eastAsia="方正书宋_GBK"/>
                <w:b/>
                <w:sz w:val="21"/>
                <w:szCs w:val="21"/>
              </w:rPr>
            </w:pPr>
          </w:p>
        </w:tc>
        <w:tc>
          <w:tcPr>
            <w:tcW w:w="854" w:type="dxa"/>
            <w:shd w:val="clear" w:color="auto" w:fill="auto"/>
            <w:vAlign w:val="center"/>
          </w:tcPr>
          <w:p>
            <w:pPr>
              <w:spacing w:line="300" w:lineRule="exact"/>
              <w:jc w:val="right"/>
              <w:rPr>
                <w:rFonts w:ascii="方正书宋_GBK" w:eastAsia="方正书宋_GBK"/>
                <w:b/>
                <w:sz w:val="21"/>
                <w:szCs w:val="21"/>
              </w:rPr>
            </w:pPr>
          </w:p>
        </w:tc>
        <w:tc>
          <w:tcPr>
            <w:tcW w:w="854" w:type="dxa"/>
            <w:shd w:val="clear" w:color="auto" w:fill="auto"/>
            <w:vAlign w:val="center"/>
          </w:tcPr>
          <w:p>
            <w:pPr>
              <w:spacing w:line="300" w:lineRule="exact"/>
              <w:jc w:val="right"/>
              <w:rPr>
                <w:rFonts w:ascii="方正书宋_GBK" w:eastAsia="方正书宋_GBK"/>
                <w:b/>
                <w:sz w:val="21"/>
                <w:szCs w:val="21"/>
              </w:rPr>
            </w:pPr>
          </w:p>
        </w:tc>
        <w:tc>
          <w:tcPr>
            <w:tcW w:w="811" w:type="dxa"/>
            <w:shd w:val="clear" w:color="auto" w:fill="auto"/>
            <w:vAlign w:val="center"/>
          </w:tcPr>
          <w:p>
            <w:pPr>
              <w:spacing w:line="300" w:lineRule="exact"/>
              <w:jc w:val="right"/>
              <w:rPr>
                <w:rFonts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336" w:type="dxa"/>
            <w:shd w:val="clear" w:color="auto" w:fill="auto"/>
            <w:vAlign w:val="center"/>
          </w:tcPr>
          <w:p>
            <w:pPr>
              <w:spacing w:line="300" w:lineRule="exact"/>
              <w:jc w:val="center"/>
              <w:rPr>
                <w:rFonts w:hint="eastAsia" w:ascii="方正书宋_GBK" w:eastAsia="方正书宋_GBK"/>
                <w:b/>
                <w:sz w:val="21"/>
                <w:szCs w:val="21"/>
              </w:rPr>
            </w:pPr>
            <w:r>
              <w:rPr>
                <w:rFonts w:hint="eastAsia" w:ascii="方正书宋_GBK" w:eastAsia="方正书宋_GBK"/>
                <w:b/>
                <w:sz w:val="21"/>
                <w:szCs w:val="21"/>
              </w:rPr>
              <w:t>饶阳县卫生和计划生育局小计</w:t>
            </w:r>
          </w:p>
        </w:tc>
        <w:tc>
          <w:tcPr>
            <w:tcW w:w="1161" w:type="dxa"/>
            <w:shd w:val="clear" w:color="auto" w:fill="auto"/>
            <w:vAlign w:val="center"/>
          </w:tcPr>
          <w:p>
            <w:pPr>
              <w:spacing w:line="300" w:lineRule="exact"/>
              <w:jc w:val="right"/>
              <w:rPr>
                <w:rFonts w:ascii="方正书宋_GBK" w:eastAsia="方正书宋_GBK"/>
                <w:b/>
                <w:sz w:val="21"/>
                <w:szCs w:val="21"/>
              </w:rPr>
            </w:pPr>
          </w:p>
        </w:tc>
        <w:tc>
          <w:tcPr>
            <w:tcW w:w="878" w:type="dxa"/>
            <w:shd w:val="clear" w:color="auto" w:fill="auto"/>
            <w:vAlign w:val="center"/>
          </w:tcPr>
          <w:p>
            <w:pPr>
              <w:spacing w:line="300" w:lineRule="exact"/>
              <w:jc w:val="left"/>
              <w:rPr>
                <w:rFonts w:ascii="方正书宋_GBK" w:eastAsia="方正书宋_GBK"/>
                <w:b/>
                <w:sz w:val="21"/>
                <w:szCs w:val="21"/>
              </w:rPr>
            </w:pPr>
          </w:p>
        </w:tc>
        <w:tc>
          <w:tcPr>
            <w:tcW w:w="858" w:type="dxa"/>
            <w:shd w:val="clear" w:color="auto" w:fill="auto"/>
            <w:vAlign w:val="center"/>
          </w:tcPr>
          <w:p>
            <w:pPr>
              <w:spacing w:line="300" w:lineRule="exact"/>
              <w:jc w:val="left"/>
              <w:rPr>
                <w:rFonts w:ascii="方正书宋_GBK" w:eastAsia="方正书宋_GBK"/>
                <w:b/>
                <w:sz w:val="21"/>
                <w:szCs w:val="21"/>
              </w:rPr>
            </w:pPr>
          </w:p>
        </w:tc>
        <w:tc>
          <w:tcPr>
            <w:tcW w:w="649" w:type="dxa"/>
            <w:shd w:val="clear" w:color="auto" w:fill="auto"/>
            <w:vAlign w:val="center"/>
          </w:tcPr>
          <w:p>
            <w:pPr>
              <w:spacing w:line="300" w:lineRule="exact"/>
              <w:jc w:val="left"/>
              <w:rPr>
                <w:rFonts w:ascii="方正书宋_GBK" w:eastAsia="方正书宋_GBK"/>
                <w:b/>
                <w:sz w:val="21"/>
                <w:szCs w:val="21"/>
              </w:rPr>
            </w:pPr>
          </w:p>
        </w:tc>
        <w:tc>
          <w:tcPr>
            <w:tcW w:w="649" w:type="dxa"/>
            <w:shd w:val="clear" w:color="auto" w:fill="auto"/>
            <w:vAlign w:val="center"/>
          </w:tcPr>
          <w:p>
            <w:pPr>
              <w:spacing w:line="300" w:lineRule="exact"/>
              <w:jc w:val="right"/>
              <w:rPr>
                <w:rFonts w:ascii="方正书宋_GBK" w:eastAsia="方正书宋_GBK"/>
                <w:b/>
                <w:sz w:val="21"/>
                <w:szCs w:val="21"/>
              </w:rPr>
            </w:pPr>
          </w:p>
        </w:tc>
        <w:tc>
          <w:tcPr>
            <w:tcW w:w="1161" w:type="dxa"/>
            <w:shd w:val="clear" w:color="auto" w:fill="auto"/>
            <w:vAlign w:val="center"/>
          </w:tcPr>
          <w:p>
            <w:pPr>
              <w:spacing w:line="300" w:lineRule="exact"/>
              <w:jc w:val="right"/>
              <w:rPr>
                <w:rFonts w:ascii="方正书宋_GBK" w:eastAsia="方正书宋_GBK"/>
                <w:b/>
                <w:sz w:val="21"/>
                <w:szCs w:val="21"/>
              </w:rPr>
            </w:pPr>
          </w:p>
        </w:tc>
        <w:tc>
          <w:tcPr>
            <w:tcW w:w="1169" w:type="dxa"/>
            <w:shd w:val="clear" w:color="auto" w:fill="auto"/>
            <w:vAlign w:val="center"/>
          </w:tcPr>
          <w:p>
            <w:pPr>
              <w:spacing w:line="300" w:lineRule="exact"/>
              <w:jc w:val="right"/>
              <w:rPr>
                <w:rFonts w:ascii="方正书宋_GBK" w:eastAsia="方正书宋_GBK"/>
                <w:b/>
                <w:sz w:val="21"/>
                <w:szCs w:val="21"/>
              </w:rPr>
            </w:pPr>
            <w:r>
              <w:rPr>
                <w:rFonts w:ascii="方正书宋_GBK" w:eastAsia="方正书宋_GBK"/>
                <w:b/>
                <w:sz w:val="21"/>
                <w:szCs w:val="21"/>
              </w:rPr>
              <w:t>80</w:t>
            </w:r>
          </w:p>
        </w:tc>
        <w:tc>
          <w:tcPr>
            <w:tcW w:w="1169" w:type="dxa"/>
            <w:shd w:val="clear" w:color="auto" w:fill="auto"/>
            <w:textDirection w:val="lrTb"/>
            <w:vAlign w:val="center"/>
          </w:tcPr>
          <w:p>
            <w:pPr>
              <w:spacing w:line="300" w:lineRule="exact"/>
              <w:jc w:val="right"/>
              <w:rPr>
                <w:rFonts w:ascii="方正书宋_GBK" w:eastAsia="方正书宋_GBK"/>
                <w:b/>
                <w:sz w:val="21"/>
                <w:szCs w:val="21"/>
              </w:rPr>
            </w:pPr>
            <w:r>
              <w:rPr>
                <w:rFonts w:ascii="方正书宋_GBK" w:eastAsia="方正书宋_GBK"/>
                <w:b/>
                <w:sz w:val="21"/>
                <w:szCs w:val="21"/>
              </w:rPr>
              <w:t>80</w:t>
            </w:r>
          </w:p>
        </w:tc>
        <w:tc>
          <w:tcPr>
            <w:tcW w:w="1169" w:type="dxa"/>
            <w:shd w:val="clear" w:color="auto" w:fill="auto"/>
            <w:textDirection w:val="lrTb"/>
            <w:vAlign w:val="center"/>
          </w:tcPr>
          <w:p>
            <w:pPr>
              <w:spacing w:line="300" w:lineRule="exact"/>
              <w:jc w:val="right"/>
              <w:rPr>
                <w:rFonts w:ascii="方正书宋_GBK" w:eastAsia="方正书宋_GBK"/>
                <w:b/>
                <w:sz w:val="21"/>
                <w:szCs w:val="21"/>
              </w:rPr>
            </w:pPr>
            <w:r>
              <w:rPr>
                <w:rFonts w:ascii="方正书宋_GBK" w:eastAsia="方正书宋_GBK"/>
                <w:b/>
                <w:sz w:val="21"/>
                <w:szCs w:val="21"/>
              </w:rPr>
              <w:t>80</w:t>
            </w:r>
          </w:p>
        </w:tc>
        <w:tc>
          <w:tcPr>
            <w:tcW w:w="850" w:type="dxa"/>
            <w:shd w:val="clear" w:color="auto" w:fill="auto"/>
            <w:vAlign w:val="center"/>
          </w:tcPr>
          <w:p>
            <w:pPr>
              <w:spacing w:line="300" w:lineRule="exact"/>
              <w:jc w:val="right"/>
              <w:rPr>
                <w:rFonts w:ascii="方正书宋_GBK" w:eastAsia="方正书宋_GBK"/>
                <w:b/>
                <w:sz w:val="21"/>
                <w:szCs w:val="21"/>
              </w:rPr>
            </w:pPr>
          </w:p>
        </w:tc>
        <w:tc>
          <w:tcPr>
            <w:tcW w:w="854" w:type="dxa"/>
            <w:shd w:val="clear" w:color="auto" w:fill="auto"/>
            <w:vAlign w:val="center"/>
          </w:tcPr>
          <w:p>
            <w:pPr>
              <w:spacing w:line="300" w:lineRule="exact"/>
              <w:jc w:val="right"/>
              <w:rPr>
                <w:rFonts w:ascii="方正书宋_GBK" w:eastAsia="方正书宋_GBK"/>
                <w:b/>
                <w:sz w:val="21"/>
                <w:szCs w:val="21"/>
              </w:rPr>
            </w:pPr>
          </w:p>
        </w:tc>
        <w:tc>
          <w:tcPr>
            <w:tcW w:w="854" w:type="dxa"/>
            <w:shd w:val="clear" w:color="auto" w:fill="auto"/>
            <w:vAlign w:val="center"/>
          </w:tcPr>
          <w:p>
            <w:pPr>
              <w:spacing w:line="300" w:lineRule="exact"/>
              <w:jc w:val="right"/>
              <w:rPr>
                <w:rFonts w:ascii="方正书宋_GBK" w:eastAsia="方正书宋_GBK"/>
                <w:b/>
                <w:sz w:val="21"/>
                <w:szCs w:val="21"/>
              </w:rPr>
            </w:pPr>
          </w:p>
        </w:tc>
        <w:tc>
          <w:tcPr>
            <w:tcW w:w="811" w:type="dxa"/>
            <w:shd w:val="clear" w:color="auto" w:fill="auto"/>
            <w:vAlign w:val="center"/>
          </w:tcPr>
          <w:p>
            <w:pPr>
              <w:spacing w:line="300" w:lineRule="exact"/>
              <w:jc w:val="right"/>
              <w:rPr>
                <w:rFonts w:ascii="方正书宋_GBK" w:eastAsia="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336" w:type="dxa"/>
            <w:shd w:val="clear" w:color="auto" w:fill="auto"/>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提前下达</w:t>
            </w:r>
            <w:r>
              <w:rPr>
                <w:rFonts w:ascii="方正书宋_GBK" w:eastAsia="方正书宋_GBK"/>
                <w:sz w:val="21"/>
                <w:szCs w:val="21"/>
              </w:rPr>
              <w:t>2019</w:t>
            </w:r>
            <w:r>
              <w:rPr>
                <w:rFonts w:hint="eastAsia" w:ascii="方正书宋_GBK" w:eastAsia="方正书宋_GBK"/>
                <w:sz w:val="21"/>
                <w:szCs w:val="21"/>
              </w:rPr>
              <w:t>年省级医改补助经费</w:t>
            </w:r>
          </w:p>
        </w:tc>
        <w:tc>
          <w:tcPr>
            <w:tcW w:w="1161" w:type="dxa"/>
            <w:shd w:val="clear" w:color="auto" w:fill="auto"/>
            <w:vAlign w:val="center"/>
          </w:tcPr>
          <w:p>
            <w:pPr>
              <w:spacing w:line="300" w:lineRule="exact"/>
              <w:jc w:val="right"/>
              <w:rPr>
                <w:rFonts w:ascii="方正书宋_GBK" w:eastAsia="方正书宋_GBK"/>
                <w:sz w:val="21"/>
                <w:szCs w:val="21"/>
              </w:rPr>
            </w:pPr>
            <w:r>
              <w:rPr>
                <w:rFonts w:ascii="方正书宋_GBK" w:eastAsia="方正书宋_GBK"/>
                <w:sz w:val="21"/>
                <w:szCs w:val="21"/>
              </w:rPr>
              <w:t>80</w:t>
            </w:r>
          </w:p>
        </w:tc>
        <w:tc>
          <w:tcPr>
            <w:tcW w:w="878" w:type="dxa"/>
            <w:shd w:val="clear" w:color="auto" w:fill="auto"/>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专用设备</w:t>
            </w:r>
          </w:p>
        </w:tc>
        <w:tc>
          <w:tcPr>
            <w:tcW w:w="858" w:type="dxa"/>
            <w:shd w:val="clear" w:color="auto" w:fill="auto"/>
            <w:vAlign w:val="center"/>
          </w:tcPr>
          <w:p>
            <w:pPr>
              <w:spacing w:line="300" w:lineRule="exact"/>
              <w:jc w:val="left"/>
              <w:rPr>
                <w:rFonts w:ascii="方正书宋_GBK" w:eastAsia="方正书宋_GBK"/>
                <w:sz w:val="21"/>
                <w:szCs w:val="21"/>
              </w:rPr>
            </w:pPr>
            <w:r>
              <w:rPr>
                <w:rFonts w:ascii="方正书宋_GBK" w:eastAsia="方正书宋_GBK"/>
                <w:sz w:val="21"/>
                <w:szCs w:val="21"/>
              </w:rPr>
              <w:t>A03</w:t>
            </w:r>
          </w:p>
        </w:tc>
        <w:tc>
          <w:tcPr>
            <w:tcW w:w="649" w:type="dxa"/>
            <w:shd w:val="clear" w:color="auto" w:fill="auto"/>
            <w:vAlign w:val="center"/>
          </w:tcPr>
          <w:p>
            <w:pPr>
              <w:spacing w:line="300" w:lineRule="exact"/>
              <w:jc w:val="left"/>
              <w:rPr>
                <w:rFonts w:ascii="方正书宋_GBK" w:eastAsia="方正书宋_GBK"/>
                <w:sz w:val="21"/>
                <w:szCs w:val="21"/>
              </w:rPr>
            </w:pPr>
          </w:p>
        </w:tc>
        <w:tc>
          <w:tcPr>
            <w:tcW w:w="649" w:type="dxa"/>
            <w:shd w:val="clear" w:color="auto" w:fill="auto"/>
            <w:vAlign w:val="center"/>
          </w:tcPr>
          <w:p>
            <w:pPr>
              <w:spacing w:line="300" w:lineRule="exact"/>
              <w:jc w:val="right"/>
              <w:rPr>
                <w:rFonts w:ascii="方正书宋_GBK" w:eastAsia="方正书宋_GBK"/>
                <w:sz w:val="21"/>
                <w:szCs w:val="21"/>
              </w:rPr>
            </w:pPr>
            <w:r>
              <w:rPr>
                <w:rFonts w:ascii="方正书宋_GBK" w:eastAsia="方正书宋_GBK"/>
                <w:sz w:val="21"/>
                <w:szCs w:val="21"/>
              </w:rPr>
              <w:t>1.00</w:t>
            </w:r>
          </w:p>
        </w:tc>
        <w:tc>
          <w:tcPr>
            <w:tcW w:w="1161" w:type="dxa"/>
            <w:shd w:val="clear" w:color="auto" w:fill="auto"/>
            <w:vAlign w:val="center"/>
          </w:tcPr>
          <w:p>
            <w:pPr>
              <w:spacing w:line="300" w:lineRule="exact"/>
              <w:jc w:val="right"/>
              <w:rPr>
                <w:rFonts w:ascii="方正书宋_GBK" w:eastAsia="方正书宋_GBK"/>
                <w:sz w:val="21"/>
                <w:szCs w:val="21"/>
              </w:rPr>
            </w:pPr>
            <w:r>
              <w:rPr>
                <w:rFonts w:ascii="方正书宋_GBK" w:eastAsia="方正书宋_GBK"/>
                <w:sz w:val="21"/>
                <w:szCs w:val="21"/>
              </w:rPr>
              <w:t>80</w:t>
            </w:r>
          </w:p>
        </w:tc>
        <w:tc>
          <w:tcPr>
            <w:tcW w:w="1169" w:type="dxa"/>
            <w:shd w:val="clear" w:color="auto" w:fill="auto"/>
            <w:vAlign w:val="center"/>
          </w:tcPr>
          <w:p>
            <w:pPr>
              <w:spacing w:line="300" w:lineRule="exact"/>
              <w:jc w:val="right"/>
              <w:rPr>
                <w:rFonts w:ascii="方正书宋_GBK" w:eastAsia="方正书宋_GBK"/>
                <w:sz w:val="21"/>
                <w:szCs w:val="21"/>
              </w:rPr>
            </w:pPr>
            <w:r>
              <w:rPr>
                <w:rFonts w:ascii="方正书宋_GBK" w:eastAsia="方正书宋_GBK"/>
                <w:sz w:val="21"/>
                <w:szCs w:val="21"/>
              </w:rPr>
              <w:t>80</w:t>
            </w:r>
          </w:p>
        </w:tc>
        <w:tc>
          <w:tcPr>
            <w:tcW w:w="1169" w:type="dxa"/>
            <w:shd w:val="clear" w:color="auto" w:fill="auto"/>
            <w:textDirection w:val="lrTb"/>
            <w:vAlign w:val="center"/>
          </w:tcPr>
          <w:p>
            <w:pPr>
              <w:spacing w:line="300" w:lineRule="exact"/>
              <w:jc w:val="right"/>
              <w:rPr>
                <w:rFonts w:ascii="方正书宋_GBK" w:eastAsia="方正书宋_GBK"/>
                <w:sz w:val="21"/>
                <w:szCs w:val="21"/>
              </w:rPr>
            </w:pPr>
            <w:r>
              <w:rPr>
                <w:rFonts w:ascii="方正书宋_GBK" w:eastAsia="方正书宋_GBK"/>
                <w:sz w:val="21"/>
                <w:szCs w:val="21"/>
              </w:rPr>
              <w:t>80</w:t>
            </w:r>
          </w:p>
        </w:tc>
        <w:tc>
          <w:tcPr>
            <w:tcW w:w="1169" w:type="dxa"/>
            <w:shd w:val="clear" w:color="auto" w:fill="auto"/>
            <w:textDirection w:val="lrTb"/>
            <w:vAlign w:val="center"/>
          </w:tcPr>
          <w:p>
            <w:pPr>
              <w:spacing w:line="300" w:lineRule="exact"/>
              <w:jc w:val="right"/>
              <w:rPr>
                <w:rFonts w:ascii="方正书宋_GBK" w:eastAsia="方正书宋_GBK"/>
                <w:sz w:val="21"/>
                <w:szCs w:val="21"/>
              </w:rPr>
            </w:pPr>
            <w:r>
              <w:rPr>
                <w:rFonts w:ascii="方正书宋_GBK" w:eastAsia="方正书宋_GBK"/>
                <w:sz w:val="21"/>
                <w:szCs w:val="21"/>
              </w:rPr>
              <w:t>80</w:t>
            </w:r>
          </w:p>
        </w:tc>
        <w:tc>
          <w:tcPr>
            <w:tcW w:w="850" w:type="dxa"/>
            <w:shd w:val="clear" w:color="auto" w:fill="auto"/>
            <w:vAlign w:val="center"/>
          </w:tcPr>
          <w:p>
            <w:pPr>
              <w:spacing w:line="300" w:lineRule="exact"/>
              <w:jc w:val="right"/>
              <w:rPr>
                <w:rFonts w:ascii="方正书宋_GBK" w:eastAsia="方正书宋_GBK"/>
                <w:sz w:val="21"/>
                <w:szCs w:val="21"/>
              </w:rPr>
            </w:pPr>
          </w:p>
        </w:tc>
        <w:tc>
          <w:tcPr>
            <w:tcW w:w="854" w:type="dxa"/>
            <w:shd w:val="clear" w:color="auto" w:fill="auto"/>
            <w:vAlign w:val="center"/>
          </w:tcPr>
          <w:p>
            <w:pPr>
              <w:spacing w:line="300" w:lineRule="exact"/>
              <w:jc w:val="right"/>
              <w:rPr>
                <w:rFonts w:ascii="方正书宋_GBK" w:eastAsia="方正书宋_GBK"/>
                <w:sz w:val="21"/>
                <w:szCs w:val="21"/>
              </w:rPr>
            </w:pPr>
          </w:p>
        </w:tc>
        <w:tc>
          <w:tcPr>
            <w:tcW w:w="854" w:type="dxa"/>
            <w:shd w:val="clear" w:color="auto" w:fill="auto"/>
            <w:vAlign w:val="center"/>
          </w:tcPr>
          <w:p>
            <w:pPr>
              <w:spacing w:line="300" w:lineRule="exact"/>
              <w:jc w:val="right"/>
              <w:rPr>
                <w:rFonts w:ascii="方正书宋_GBK" w:eastAsia="方正书宋_GBK"/>
                <w:sz w:val="21"/>
                <w:szCs w:val="21"/>
              </w:rPr>
            </w:pPr>
          </w:p>
        </w:tc>
        <w:tc>
          <w:tcPr>
            <w:tcW w:w="811" w:type="dxa"/>
            <w:shd w:val="clear" w:color="auto" w:fill="auto"/>
            <w:vAlign w:val="center"/>
          </w:tcPr>
          <w:p>
            <w:pPr>
              <w:spacing w:line="300" w:lineRule="exact"/>
              <w:jc w:val="right"/>
              <w:rPr>
                <w:rFonts w:ascii="方正书宋_GBK" w:eastAsia="方正书宋_GBK"/>
                <w:sz w:val="21"/>
                <w:szCs w:val="21"/>
              </w:rPr>
            </w:pPr>
          </w:p>
        </w:tc>
      </w:tr>
    </w:tbl>
    <w:p>
      <w:pPr>
        <w:ind w:firstLine="643" w:firstLineChars="200"/>
        <w:rPr>
          <w:rFonts w:hint="eastAsia" w:cs="仿宋_GB2312"/>
          <w:b/>
        </w:rPr>
      </w:pPr>
    </w:p>
    <w:p>
      <w:pPr>
        <w:spacing w:line="300" w:lineRule="exact"/>
        <w:jc w:val="left"/>
        <w:outlineLvl w:val="0"/>
        <w:rPr>
          <w:rFonts w:hint="eastAsia" w:cs="Times New Roman"/>
          <w:sz w:val="21"/>
          <w:szCs w:val="21"/>
        </w:rPr>
        <w:sectPr>
          <w:pgSz w:w="16839" w:h="11907" w:orient="landscape"/>
          <w:pgMar w:top="1361" w:right="1020" w:bottom="1361" w:left="1020" w:header="851" w:footer="992" w:gutter="0"/>
          <w:cols w:space="425" w:num="1"/>
          <w:docGrid w:type="lines" w:linePitch="312" w:charSpace="0"/>
        </w:sectPr>
      </w:pPr>
    </w:p>
    <w:p>
      <w:pPr>
        <w:ind w:firstLine="643" w:firstLineChars="200"/>
        <w:rPr>
          <w:rFonts w:hint="eastAsia" w:cs="Times New Roman"/>
          <w:b/>
          <w:bCs/>
        </w:rPr>
      </w:pPr>
      <w:r>
        <w:rPr>
          <w:b/>
          <w:bCs/>
        </w:rPr>
        <w:t>7</w:t>
      </w:r>
      <w:r>
        <w:rPr>
          <w:rFonts w:hint="eastAsia" w:cs="仿宋_GB2312"/>
          <w:b/>
          <w:bCs/>
        </w:rPr>
        <w:t>、国有资产信息</w:t>
      </w:r>
    </w:p>
    <w:p>
      <w:pPr>
        <w:ind w:firstLine="640" w:firstLineChars="200"/>
        <w:rPr>
          <w:color w:val="000000" w:themeColor="text1"/>
        </w:rPr>
      </w:pPr>
      <w:r>
        <w:t>上年末固定资产金额为</w:t>
      </w:r>
      <w:r>
        <w:rPr>
          <w:rFonts w:hint="eastAsia"/>
          <w:color w:val="auto"/>
          <w:highlight w:val="none"/>
          <w:shd w:val="clear" w:color="auto" w:fill="auto"/>
          <w:lang w:val="en-US" w:eastAsia="zh-CN"/>
        </w:rPr>
        <w:t>28528.04</w:t>
      </w:r>
      <w:r>
        <w:t>万元（详见下表），</w:t>
      </w:r>
      <w:r>
        <w:rPr>
          <w:rFonts w:hint="eastAsia"/>
          <w:color w:val="000000" w:themeColor="text1"/>
        </w:rPr>
        <w:t>本年度拟购置固定资产总额为</w:t>
      </w:r>
      <w:r>
        <w:rPr>
          <w:rFonts w:hint="eastAsia"/>
          <w:color w:val="000000" w:themeColor="text1"/>
          <w:lang w:val="en-US" w:eastAsia="zh-CN"/>
        </w:rPr>
        <w:t>80</w:t>
      </w:r>
      <w:r>
        <w:rPr>
          <w:rFonts w:hint="eastAsia"/>
          <w:color w:val="000000" w:themeColor="text1"/>
        </w:rPr>
        <w:t>万元，主要是</w:t>
      </w:r>
      <w:r>
        <w:rPr>
          <w:rFonts w:hint="eastAsia"/>
          <w:color w:val="000000" w:themeColor="text1"/>
          <w:lang w:eastAsia="zh-CN"/>
        </w:rPr>
        <w:t>五公卫生院</w:t>
      </w:r>
      <w:r>
        <w:rPr>
          <w:rFonts w:hint="eastAsia"/>
          <w:color w:val="000000" w:themeColor="text1"/>
        </w:rPr>
        <w:t>、</w:t>
      </w:r>
      <w:r>
        <w:rPr>
          <w:rFonts w:hint="eastAsia"/>
          <w:color w:val="000000" w:themeColor="text1"/>
          <w:lang w:eastAsia="zh-CN"/>
        </w:rPr>
        <w:t>寺岗</w:t>
      </w:r>
      <w:r>
        <w:rPr>
          <w:rFonts w:hint="eastAsia"/>
          <w:color w:val="000000" w:themeColor="text1"/>
        </w:rPr>
        <w:t>卫生院</w:t>
      </w:r>
      <w:r>
        <w:rPr>
          <w:rFonts w:hint="eastAsia"/>
          <w:color w:val="000000" w:themeColor="text1"/>
          <w:lang w:eastAsia="zh-CN"/>
        </w:rPr>
        <w:t>专用设备购置一批</w:t>
      </w:r>
      <w:r>
        <w:rPr>
          <w:rFonts w:hint="eastAsia"/>
          <w:color w:val="000000" w:themeColor="text1"/>
          <w:lang w:val="en-US" w:eastAsia="zh-CN"/>
        </w:rPr>
        <w:t>80</w:t>
      </w:r>
      <w:r>
        <w:rPr>
          <w:rFonts w:hint="eastAsia"/>
          <w:color w:val="000000" w:themeColor="text1"/>
        </w:rPr>
        <w:t>万元。已列入当年采购预算，详见政府采购预算表。</w:t>
      </w:r>
    </w:p>
    <w:p>
      <w:pPr>
        <w:jc w:val="center"/>
        <w:rPr>
          <w:rFonts w:hint="eastAsia" w:ascii="方正小标宋简体" w:eastAsia="方正小标宋简体" w:cs="方正小标宋简体"/>
          <w:sz w:val="36"/>
          <w:szCs w:val="36"/>
          <w:lang w:eastAsia="zh-CN"/>
        </w:rPr>
      </w:pPr>
      <w:r>
        <w:rPr>
          <w:rFonts w:hint="eastAsia" w:ascii="方正小标宋简体" w:eastAsia="方正小标宋简体" w:cs="方正小标宋简体"/>
          <w:sz w:val="36"/>
          <w:szCs w:val="36"/>
        </w:rPr>
        <w:t>饶阳县</w:t>
      </w:r>
      <w:r>
        <w:rPr>
          <w:rFonts w:hint="eastAsia" w:ascii="方正小标宋简体" w:eastAsia="方正小标宋简体" w:cs="方正小标宋简体"/>
          <w:sz w:val="36"/>
          <w:szCs w:val="36"/>
          <w:lang w:eastAsia="zh-CN"/>
        </w:rPr>
        <w:t>卫生和健康局</w:t>
      </w:r>
    </w:p>
    <w:p>
      <w:pPr>
        <w:jc w:val="center"/>
        <w:rPr>
          <w:rFonts w:hint="eastAsia" w:ascii="方正小标宋简体" w:eastAsia="方正小标宋简体" w:cs="Times New Roman"/>
          <w:sz w:val="36"/>
          <w:szCs w:val="36"/>
        </w:rPr>
      </w:pPr>
      <w:r>
        <w:rPr>
          <w:rFonts w:hint="eastAsia" w:ascii="方正小标宋简体" w:eastAsia="方正小标宋简体" w:cs="方正小标宋简体"/>
          <w:sz w:val="36"/>
          <w:szCs w:val="36"/>
        </w:rPr>
        <w:t>固定资产占用情况表</w:t>
      </w:r>
    </w:p>
    <w:p>
      <w:pPr>
        <w:jc w:val="left"/>
        <w:rPr>
          <w:rFonts w:hint="eastAsia" w:cs="Times New Roman"/>
          <w:sz w:val="28"/>
          <w:szCs w:val="28"/>
        </w:rPr>
      </w:pPr>
      <w:r>
        <w:rPr>
          <w:rFonts w:hint="eastAsia" w:cs="仿宋_GB2312"/>
          <w:sz w:val="28"/>
          <w:szCs w:val="28"/>
        </w:rPr>
        <w:t>编制部门：</w:t>
      </w:r>
      <w:r>
        <w:rPr>
          <w:rFonts w:hint="eastAsia" w:cs="仿宋_GB2312"/>
          <w:color w:val="000000" w:themeColor="text1"/>
          <w:sz w:val="28"/>
          <w:szCs w:val="28"/>
          <w:highlight w:val="none"/>
          <w:lang w:val="en-US" w:eastAsia="zh-CN"/>
        </w:rPr>
        <w:t>饶阳县卫生和健康局</w:t>
      </w:r>
      <w:r>
        <w:rPr>
          <w:color w:val="000000" w:themeColor="text1"/>
          <w:sz w:val="28"/>
          <w:szCs w:val="28"/>
          <w:highlight w:val="none"/>
        </w:rPr>
        <w:t xml:space="preserve"> </w:t>
      </w:r>
      <w:r>
        <w:rPr>
          <w:color w:val="FF0000"/>
          <w:sz w:val="28"/>
          <w:szCs w:val="28"/>
        </w:rPr>
        <w:t xml:space="preserve">    </w:t>
      </w:r>
      <w:r>
        <w:rPr>
          <w:rFonts w:hint="eastAsia" w:cs="仿宋_GB2312"/>
          <w:sz w:val="28"/>
          <w:szCs w:val="28"/>
        </w:rPr>
        <w:t>截止时间：</w:t>
      </w:r>
      <w:r>
        <w:rPr>
          <w:sz w:val="28"/>
          <w:szCs w:val="28"/>
        </w:rPr>
        <w:t>201</w:t>
      </w:r>
      <w:r>
        <w:rPr>
          <w:rFonts w:hint="eastAsia"/>
          <w:sz w:val="28"/>
          <w:szCs w:val="28"/>
          <w:lang w:val="en-US" w:eastAsia="zh-CN"/>
        </w:rPr>
        <w:t>8</w:t>
      </w:r>
      <w:r>
        <w:rPr>
          <w:rFonts w:hint="eastAsia" w:cs="仿宋_GB2312"/>
          <w:sz w:val="28"/>
          <w:szCs w:val="28"/>
        </w:rPr>
        <w:t>年</w:t>
      </w:r>
      <w:r>
        <w:rPr>
          <w:sz w:val="28"/>
          <w:szCs w:val="28"/>
        </w:rPr>
        <w:t>12</w:t>
      </w:r>
      <w:r>
        <w:rPr>
          <w:rFonts w:hint="eastAsia" w:cs="仿宋_GB2312"/>
          <w:sz w:val="28"/>
          <w:szCs w:val="28"/>
        </w:rPr>
        <w:t>月</w:t>
      </w:r>
      <w:r>
        <w:rPr>
          <w:sz w:val="28"/>
          <w:szCs w:val="28"/>
        </w:rPr>
        <w:t>31</w:t>
      </w:r>
      <w:r>
        <w:rPr>
          <w:rFonts w:hint="eastAsia" w:cs="仿宋_GB2312"/>
          <w:sz w:val="28"/>
          <w:szCs w:val="28"/>
        </w:rPr>
        <w:t>日</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4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jc w:val="center"/>
              <w:rPr>
                <w:rFonts w:hint="eastAsia" w:cs="Times New Roman"/>
              </w:rPr>
            </w:pPr>
            <w:r>
              <w:rPr>
                <w:rFonts w:hint="eastAsia" w:cs="仿宋_GB2312"/>
              </w:rPr>
              <w:t>项目</w:t>
            </w:r>
          </w:p>
        </w:tc>
        <w:tc>
          <w:tcPr>
            <w:tcW w:w="1462" w:type="dxa"/>
          </w:tcPr>
          <w:p>
            <w:pPr>
              <w:jc w:val="center"/>
              <w:rPr>
                <w:rFonts w:hint="eastAsia" w:cs="Times New Roman"/>
              </w:rPr>
            </w:pPr>
            <w:r>
              <w:rPr>
                <w:rFonts w:hint="eastAsia" w:cs="仿宋_GB2312"/>
              </w:rPr>
              <w:t>数量</w:t>
            </w:r>
          </w:p>
        </w:tc>
        <w:tc>
          <w:tcPr>
            <w:tcW w:w="2841" w:type="dxa"/>
          </w:tcPr>
          <w:p>
            <w:pPr>
              <w:jc w:val="center"/>
              <w:rPr>
                <w:rFonts w:hint="eastAsia" w:cs="仿宋_GB2312"/>
              </w:rPr>
            </w:pPr>
            <w:r>
              <w:rPr>
                <w:rFonts w:hint="eastAsia" w:cs="仿宋_GB2312"/>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hint="eastAsia" w:cs="Times New Roman"/>
              </w:rPr>
            </w:pPr>
            <w:r>
              <w:rPr>
                <w:rFonts w:hint="eastAsia" w:cs="仿宋_GB2312"/>
              </w:rPr>
              <w:t>资产总额</w:t>
            </w:r>
          </w:p>
        </w:tc>
        <w:tc>
          <w:tcPr>
            <w:tcW w:w="1462" w:type="dxa"/>
            <w:vAlign w:val="top"/>
          </w:tcPr>
          <w:p>
            <w:pPr>
              <w:jc w:val="center"/>
              <w:rPr>
                <w:rFonts w:hint="eastAsia"/>
              </w:rPr>
            </w:pPr>
            <w:r>
              <w:rPr>
                <w:color w:val="000000" w:themeColor="text1"/>
              </w:rPr>
              <w:t>——</w:t>
            </w:r>
          </w:p>
        </w:tc>
        <w:tc>
          <w:tcPr>
            <w:tcW w:w="2841" w:type="dxa"/>
            <w:vAlign w:val="top"/>
          </w:tcPr>
          <w:p>
            <w:pPr>
              <w:jc w:val="center"/>
              <w:rPr>
                <w:rFonts w:hint="eastAsia" w:eastAsia="仿宋_GB2312" w:cs="Times New Roman"/>
                <w:color w:val="0070C0"/>
                <w:lang w:val="en-US" w:eastAsia="zh-CN"/>
              </w:rPr>
            </w:pPr>
            <w:r>
              <w:rPr>
                <w:rFonts w:hint="eastAsia"/>
                <w:color w:val="000000" w:themeColor="text1"/>
                <w:lang w:val="en-US" w:eastAsia="zh-CN"/>
              </w:rPr>
              <w:t>28528.04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hint="eastAsia" w:cs="Times New Roman"/>
              </w:rPr>
            </w:pPr>
            <w:r>
              <w:t>1</w:t>
            </w:r>
            <w:r>
              <w:rPr>
                <w:rFonts w:hint="eastAsia" w:cs="仿宋_GB2312"/>
              </w:rPr>
              <w:t>、房屋（平方米）</w:t>
            </w:r>
          </w:p>
        </w:tc>
        <w:tc>
          <w:tcPr>
            <w:tcW w:w="1462" w:type="dxa"/>
            <w:vAlign w:val="top"/>
          </w:tcPr>
          <w:p>
            <w:pPr>
              <w:jc w:val="center"/>
              <w:rPr>
                <w:rFonts w:hint="eastAsia" w:eastAsia="仿宋_GB2312" w:cs="Times New Roman"/>
                <w:lang w:val="en-US" w:eastAsia="zh-CN"/>
              </w:rPr>
            </w:pPr>
            <w:r>
              <w:rPr>
                <w:color w:val="000000" w:themeColor="text1"/>
              </w:rPr>
              <w:t>8</w:t>
            </w:r>
            <w:r>
              <w:rPr>
                <w:rFonts w:hint="eastAsia"/>
                <w:color w:val="000000" w:themeColor="text1"/>
                <w:lang w:val="en-US" w:eastAsia="zh-CN"/>
              </w:rPr>
              <w:t>4881.1</w:t>
            </w:r>
          </w:p>
        </w:tc>
        <w:tc>
          <w:tcPr>
            <w:tcW w:w="2841" w:type="dxa"/>
            <w:vAlign w:val="top"/>
          </w:tcPr>
          <w:p>
            <w:pPr>
              <w:jc w:val="center"/>
              <w:rPr>
                <w:rFonts w:hint="eastAsia" w:eastAsia="仿宋_GB2312" w:cs="Times New Roman"/>
                <w:lang w:val="en-US" w:eastAsia="zh-CN"/>
              </w:rPr>
            </w:pPr>
            <w:r>
              <w:rPr>
                <w:rFonts w:hint="eastAsia"/>
                <w:color w:val="000000" w:themeColor="text1"/>
                <w:lang w:val="en-US" w:eastAsia="zh-CN"/>
              </w:rPr>
              <w:t>9183.15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hint="eastAsia" w:cs="Times New Roman"/>
              </w:rPr>
            </w:pPr>
            <w:r>
              <w:t xml:space="preserve">   </w:t>
            </w:r>
            <w:r>
              <w:rPr>
                <w:rFonts w:hint="eastAsia" w:cs="仿宋_GB2312"/>
              </w:rPr>
              <w:t>其中：办公用房（平方米）</w:t>
            </w:r>
          </w:p>
        </w:tc>
        <w:tc>
          <w:tcPr>
            <w:tcW w:w="1462" w:type="dxa"/>
            <w:vAlign w:val="top"/>
          </w:tcPr>
          <w:p>
            <w:pPr>
              <w:jc w:val="center"/>
              <w:rPr>
                <w:rFonts w:hint="eastAsia" w:cs="Times New Roman"/>
              </w:rPr>
            </w:pPr>
            <w:r>
              <w:rPr>
                <w:color w:val="000000" w:themeColor="text1"/>
              </w:rPr>
              <w:t>13272</w:t>
            </w:r>
          </w:p>
        </w:tc>
        <w:tc>
          <w:tcPr>
            <w:tcW w:w="2841" w:type="dxa"/>
            <w:vAlign w:val="top"/>
          </w:tcPr>
          <w:p>
            <w:pPr>
              <w:jc w:val="center"/>
              <w:rPr>
                <w:rFonts w:hint="eastAsia" w:cs="Times New Roman"/>
              </w:rPr>
            </w:pPr>
            <w:r>
              <w:rPr>
                <w:color w:val="000000" w:themeColor="text1"/>
              </w:rPr>
              <w:t>574.84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hint="eastAsia" w:cs="Times New Roman"/>
              </w:rPr>
            </w:pPr>
            <w:r>
              <w:t>2</w:t>
            </w:r>
            <w:r>
              <w:rPr>
                <w:rFonts w:hint="eastAsia" w:cs="仿宋_GB2312"/>
              </w:rPr>
              <w:t>、车辆（台、辆）</w:t>
            </w:r>
          </w:p>
        </w:tc>
        <w:tc>
          <w:tcPr>
            <w:tcW w:w="1462" w:type="dxa"/>
            <w:vAlign w:val="top"/>
          </w:tcPr>
          <w:p>
            <w:pPr>
              <w:jc w:val="center"/>
              <w:rPr>
                <w:rFonts w:hint="eastAsia" w:eastAsia="仿宋_GB2312" w:cs="Times New Roman"/>
                <w:lang w:val="en-US" w:eastAsia="zh-CN"/>
              </w:rPr>
            </w:pPr>
            <w:r>
              <w:rPr>
                <w:rFonts w:hint="eastAsia"/>
                <w:color w:val="000000" w:themeColor="text1"/>
                <w:lang w:val="en-US" w:eastAsia="zh-CN"/>
              </w:rPr>
              <w:t>33</w:t>
            </w:r>
          </w:p>
        </w:tc>
        <w:tc>
          <w:tcPr>
            <w:tcW w:w="2841" w:type="dxa"/>
            <w:vAlign w:val="top"/>
          </w:tcPr>
          <w:p>
            <w:pPr>
              <w:jc w:val="center"/>
              <w:rPr>
                <w:rFonts w:hint="eastAsia" w:eastAsia="仿宋_GB2312" w:cs="Times New Roman"/>
                <w:lang w:val="en-US" w:eastAsia="zh-CN"/>
              </w:rPr>
            </w:pPr>
            <w:r>
              <w:rPr>
                <w:rFonts w:hint="eastAsia"/>
                <w:color w:val="000000" w:themeColor="text1"/>
                <w:lang w:val="en-US" w:eastAsia="zh-CN"/>
              </w:rPr>
              <w:t>369.16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9" w:type="dxa"/>
          </w:tcPr>
          <w:p>
            <w:pPr>
              <w:rPr>
                <w:rFonts w:hint="eastAsia"/>
              </w:rPr>
            </w:pPr>
            <w:r>
              <w:rPr>
                <w:rFonts w:hint="eastAsia"/>
              </w:rPr>
              <w:t>3、单价在20万元以上设备</w:t>
            </w:r>
          </w:p>
        </w:tc>
        <w:tc>
          <w:tcPr>
            <w:tcW w:w="1462" w:type="dxa"/>
            <w:vAlign w:val="top"/>
          </w:tcPr>
          <w:p>
            <w:pPr>
              <w:jc w:val="center"/>
              <w:rPr>
                <w:rFonts w:hint="eastAsia" w:cs="Times New Roman"/>
              </w:rPr>
            </w:pPr>
          </w:p>
        </w:tc>
        <w:tc>
          <w:tcPr>
            <w:tcW w:w="2841" w:type="dxa"/>
            <w:vAlign w:val="top"/>
          </w:tcPr>
          <w:p>
            <w:pPr>
              <w:jc w:val="center"/>
              <w:rPr>
                <w:rFonts w:hint="eastAsia"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tcPr>
          <w:p>
            <w:pPr>
              <w:rPr>
                <w:rFonts w:hint="eastAsia" w:cs="Times New Roman"/>
              </w:rPr>
            </w:pPr>
            <w:r>
              <w:rPr>
                <w:rFonts w:hint="eastAsia"/>
              </w:rPr>
              <w:t>4</w:t>
            </w:r>
            <w:r>
              <w:rPr>
                <w:rFonts w:hint="eastAsia" w:cs="仿宋_GB2312"/>
              </w:rPr>
              <w:t>、其他固定资产</w:t>
            </w:r>
          </w:p>
        </w:tc>
        <w:tc>
          <w:tcPr>
            <w:tcW w:w="1462" w:type="dxa"/>
            <w:vAlign w:val="top"/>
          </w:tcPr>
          <w:p>
            <w:pPr>
              <w:jc w:val="center"/>
              <w:rPr>
                <w:rFonts w:hint="eastAsia" w:cs="Times New Roman"/>
              </w:rPr>
            </w:pPr>
            <w:r>
              <w:rPr>
                <w:color w:val="000000" w:themeColor="text1"/>
              </w:rPr>
              <w:t>——</w:t>
            </w:r>
            <w:bookmarkStart w:id="2" w:name="_GoBack"/>
            <w:bookmarkEnd w:id="2"/>
          </w:p>
        </w:tc>
        <w:tc>
          <w:tcPr>
            <w:tcW w:w="2841" w:type="dxa"/>
            <w:vAlign w:val="top"/>
          </w:tcPr>
          <w:p>
            <w:pPr>
              <w:jc w:val="center"/>
              <w:rPr>
                <w:rFonts w:hint="eastAsia" w:eastAsia="仿宋_GB2312" w:cs="Times New Roman"/>
                <w:lang w:val="en-US" w:eastAsia="zh-CN"/>
              </w:rPr>
            </w:pPr>
            <w:r>
              <w:rPr>
                <w:rFonts w:hint="eastAsia"/>
                <w:color w:val="000000" w:themeColor="text1"/>
                <w:lang w:val="en-US" w:eastAsia="zh-CN"/>
              </w:rPr>
              <w:t>18975.73</w:t>
            </w:r>
          </w:p>
        </w:tc>
      </w:tr>
    </w:tbl>
    <w:p>
      <w:pPr>
        <w:ind w:firstLine="643" w:firstLineChars="200"/>
        <w:rPr>
          <w:rFonts w:hint="eastAsia" w:cs="Times New Roman"/>
          <w:b/>
          <w:bCs/>
        </w:rPr>
      </w:pPr>
      <w:r>
        <w:rPr>
          <w:b/>
          <w:bCs/>
        </w:rPr>
        <w:t>8</w:t>
      </w:r>
      <w:r>
        <w:rPr>
          <w:rFonts w:hint="eastAsia" w:cs="仿宋_GB2312"/>
          <w:b/>
          <w:bCs/>
        </w:rPr>
        <w:t>、名词解释</w:t>
      </w:r>
    </w:p>
    <w:p>
      <w:pPr>
        <w:ind w:firstLine="640" w:firstLineChars="200"/>
        <w:rPr>
          <w:rFonts w:hint="eastAsia" w:ascii="仿宋_GB2312"/>
          <w:b/>
        </w:rPr>
      </w:pPr>
      <w:r>
        <w:rPr>
          <w:rFonts w:hint="eastAsia" w:ascii="仿宋_GB2312"/>
        </w:rPr>
        <w:t>1、一般公共预算拨款收入：指市级财政当年拨付的资金。</w:t>
      </w:r>
    </w:p>
    <w:p>
      <w:pPr>
        <w:ind w:firstLine="640" w:firstLineChars="200"/>
        <w:rPr>
          <w:rFonts w:hint="eastAsia" w:ascii="仿宋_GB2312"/>
        </w:rPr>
      </w:pPr>
      <w:r>
        <w:rPr>
          <w:rFonts w:hint="eastAsia" w:ascii="仿宋_GB2312"/>
        </w:rPr>
        <w:t>2、事业收入：指事业单位开展专业业务活动及辅助活动所取得的收入。</w:t>
      </w:r>
    </w:p>
    <w:p>
      <w:pPr>
        <w:ind w:firstLine="640" w:firstLineChars="200"/>
        <w:rPr>
          <w:rFonts w:hint="eastAsia" w:ascii="仿宋_GB2312"/>
        </w:rPr>
      </w:pPr>
      <w:r>
        <w:rPr>
          <w:rFonts w:hint="eastAsia" w:ascii="仿宋_GB2312"/>
        </w:rPr>
        <w:t>3、其他收入：指除上述“财政拨款收入”、“事业收入”等以外的收入。</w:t>
      </w:r>
    </w:p>
    <w:p>
      <w:pPr>
        <w:ind w:firstLine="640" w:firstLineChars="200"/>
        <w:rPr>
          <w:rFonts w:hint="eastAsia" w:ascii="仿宋_GB2312"/>
        </w:rPr>
      </w:pPr>
      <w:r>
        <w:rPr>
          <w:rFonts w:hint="eastAsia" w:ascii="仿宋_GB2312"/>
        </w:rPr>
        <w:t>4、基本支出：指为保障机构正常运转、完成日常工作任务而发生的人员支出和公用支出。</w:t>
      </w:r>
    </w:p>
    <w:p>
      <w:pPr>
        <w:ind w:firstLine="640" w:firstLineChars="200"/>
        <w:rPr>
          <w:rFonts w:hint="eastAsia" w:ascii="仿宋_GB2312"/>
        </w:rPr>
      </w:pPr>
      <w:r>
        <w:rPr>
          <w:rFonts w:hint="eastAsia" w:ascii="仿宋_GB2312"/>
        </w:rPr>
        <w:t>5、项目支出：指在基本支出之外为完成特定行政任务和事业发展目标所发生的支出。</w:t>
      </w:r>
    </w:p>
    <w:p>
      <w:pPr>
        <w:ind w:firstLine="640" w:firstLineChars="200"/>
        <w:rPr>
          <w:rFonts w:hint="eastAsia" w:ascii="仿宋_GB2312"/>
        </w:rPr>
      </w:pPr>
      <w:r>
        <w:rPr>
          <w:rFonts w:hint="eastAsia" w:ascii="仿宋_GB2312"/>
        </w:rPr>
        <w:t>6、“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_GB2312"/>
          <w:kern w:val="0"/>
        </w:rPr>
      </w:pPr>
      <w:r>
        <w:rPr>
          <w:rFonts w:hint="eastAsia" w:ascii="仿宋_GB2312"/>
          <w:kern w:val="0"/>
        </w:rPr>
        <w:t>7、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hint="eastAsia" w:cs="Times New Roman"/>
          <w:b/>
          <w:bCs/>
        </w:rPr>
      </w:pPr>
      <w:r>
        <w:rPr>
          <w:b/>
          <w:bCs/>
        </w:rPr>
        <w:t>9</w:t>
      </w:r>
      <w:r>
        <w:rPr>
          <w:rFonts w:hint="eastAsia" w:cs="仿宋_GB2312"/>
          <w:b/>
          <w:bCs/>
        </w:rPr>
        <w:t>、其他需要说明的事项</w:t>
      </w:r>
    </w:p>
    <w:p>
      <w:pPr>
        <w:rPr>
          <w:rFonts w:ascii="仿宋" w:hAnsi="仿宋" w:eastAsia="仿宋" w:cs="仿宋"/>
          <w:szCs w:val="32"/>
        </w:rPr>
      </w:pPr>
      <w:r>
        <w:rPr>
          <w:rFonts w:hint="eastAsia" w:ascii="仿宋" w:hAnsi="仿宋" w:eastAsia="仿宋" w:cs="仿宋"/>
          <w:szCs w:val="32"/>
        </w:rPr>
        <w:t>（1）、部门政府性基金预算情况</w:t>
      </w:r>
    </w:p>
    <w:p>
      <w:pPr>
        <w:spacing w:line="600" w:lineRule="exact"/>
        <w:rPr>
          <w:rFonts w:ascii="仿宋" w:hAnsi="仿宋" w:eastAsia="仿宋" w:cs="仿宋"/>
          <w:szCs w:val="32"/>
        </w:rPr>
      </w:pPr>
      <w:r>
        <w:rPr>
          <w:rFonts w:hint="eastAsia" w:ascii="仿宋" w:hAnsi="仿宋" w:eastAsia="仿宋" w:cs="仿宋"/>
          <w:szCs w:val="32"/>
        </w:rPr>
        <w:t>我部门20</w:t>
      </w:r>
      <w:r>
        <w:rPr>
          <w:rFonts w:hint="eastAsia" w:ascii="仿宋" w:hAnsi="仿宋" w:eastAsia="仿宋" w:cs="仿宋"/>
          <w:szCs w:val="32"/>
          <w:lang w:val="en-US" w:eastAsia="zh-CN"/>
        </w:rPr>
        <w:t>19</w:t>
      </w:r>
      <w:r>
        <w:rPr>
          <w:rFonts w:hint="eastAsia" w:ascii="仿宋" w:hAnsi="仿宋" w:eastAsia="仿宋" w:cs="仿宋"/>
          <w:szCs w:val="32"/>
        </w:rPr>
        <w:t>年政府性基金财政拨款支出预算表收支为0万元，所以《部门预算政府基金预算财政拨款支出表》为空表。</w:t>
      </w:r>
    </w:p>
    <w:p>
      <w:pPr>
        <w:spacing w:line="600" w:lineRule="exact"/>
        <w:ind w:left="640"/>
        <w:rPr>
          <w:rFonts w:ascii="仿宋" w:hAnsi="仿宋" w:eastAsia="仿宋" w:cs="仿宋"/>
          <w:szCs w:val="32"/>
        </w:rPr>
      </w:pPr>
      <w:r>
        <w:rPr>
          <w:rFonts w:hint="eastAsia" w:ascii="仿宋" w:hAnsi="仿宋" w:eastAsia="仿宋" w:cs="仿宋"/>
          <w:szCs w:val="32"/>
        </w:rPr>
        <w:t>（2）、国有资本经营情况</w:t>
      </w:r>
    </w:p>
    <w:p>
      <w:pPr>
        <w:spacing w:line="600" w:lineRule="exact"/>
        <w:ind w:firstLine="640"/>
        <w:rPr>
          <w:rFonts w:ascii="仿宋" w:hAnsi="仿宋" w:eastAsia="仿宋" w:cs="仿宋"/>
          <w:szCs w:val="32"/>
        </w:rPr>
      </w:pPr>
      <w:r>
        <w:rPr>
          <w:rFonts w:hint="eastAsia" w:ascii="仿宋" w:hAnsi="仿宋" w:eastAsia="仿宋" w:cs="仿宋"/>
          <w:szCs w:val="32"/>
        </w:rPr>
        <w:t>我部门20</w:t>
      </w:r>
      <w:r>
        <w:rPr>
          <w:rFonts w:hint="eastAsia" w:ascii="仿宋" w:hAnsi="仿宋" w:eastAsia="仿宋" w:cs="仿宋"/>
          <w:szCs w:val="32"/>
          <w:lang w:val="en-US" w:eastAsia="zh-CN"/>
        </w:rPr>
        <w:t>19</w:t>
      </w:r>
      <w:r>
        <w:rPr>
          <w:rFonts w:hint="eastAsia" w:ascii="仿宋" w:hAnsi="仿宋" w:eastAsia="仿宋" w:cs="仿宋"/>
          <w:szCs w:val="32"/>
        </w:rPr>
        <w:t>年没有国有资本经营预算财政拨款收入和支出，所以《部门预算国有资本经营预算财政拨款支出表》为空表。</w:t>
      </w:r>
    </w:p>
    <w:p>
      <w:pPr>
        <w:ind w:firstLine="640" w:firstLineChars="200"/>
        <w:rPr>
          <w:color w:val="0070C0"/>
        </w:rPr>
      </w:pPr>
    </w:p>
    <w:p>
      <w:pPr>
        <w:ind w:firstLine="640" w:firstLineChars="200"/>
        <w:rPr>
          <w:rFonts w:hint="eastAsia" w:cs="Times New Roman"/>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宋体-方正超大字符集">
    <w:panose1 w:val="03000509000000000000"/>
    <w:charset w:val="86"/>
    <w:family w:val="auto"/>
    <w:pitch w:val="default"/>
    <w:sig w:usb0="00000001" w:usb1="080E0000" w:usb2="00000000" w:usb3="00000000" w:csb0="00040000" w:csb1="00000000"/>
  </w:font>
  <w:font w:name="Calisto MT">
    <w:panose1 w:val="02040603050505030304"/>
    <w:charset w:val="00"/>
    <w:family w:val="auto"/>
    <w:pitch w:val="default"/>
    <w:sig w:usb0="00000003"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87</w:t>
    </w:r>
    <w:r>
      <w:rPr>
        <w:rStyle w:val="8"/>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9"/>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133"/>
    <w:rsid w:val="000046D1"/>
    <w:rsid w:val="00035B19"/>
    <w:rsid w:val="00037334"/>
    <w:rsid w:val="00037DEA"/>
    <w:rsid w:val="0005049D"/>
    <w:rsid w:val="00061CAC"/>
    <w:rsid w:val="0007464C"/>
    <w:rsid w:val="00092730"/>
    <w:rsid w:val="000D52EE"/>
    <w:rsid w:val="000E4BAB"/>
    <w:rsid w:val="000F4830"/>
    <w:rsid w:val="001011CA"/>
    <w:rsid w:val="00121DA4"/>
    <w:rsid w:val="00143A0F"/>
    <w:rsid w:val="00145B57"/>
    <w:rsid w:val="00146974"/>
    <w:rsid w:val="00153D6A"/>
    <w:rsid w:val="00175EB9"/>
    <w:rsid w:val="0018046B"/>
    <w:rsid w:val="001A6EC7"/>
    <w:rsid w:val="001D021A"/>
    <w:rsid w:val="001F0AC3"/>
    <w:rsid w:val="001F1E74"/>
    <w:rsid w:val="001F2E32"/>
    <w:rsid w:val="00233B12"/>
    <w:rsid w:val="00251260"/>
    <w:rsid w:val="0028603B"/>
    <w:rsid w:val="0029393F"/>
    <w:rsid w:val="00294A91"/>
    <w:rsid w:val="00295FE6"/>
    <w:rsid w:val="002A1675"/>
    <w:rsid w:val="002D49E5"/>
    <w:rsid w:val="00303AB5"/>
    <w:rsid w:val="003110A9"/>
    <w:rsid w:val="003175BD"/>
    <w:rsid w:val="00344FD8"/>
    <w:rsid w:val="003566CA"/>
    <w:rsid w:val="0038169B"/>
    <w:rsid w:val="00393B97"/>
    <w:rsid w:val="003B6A19"/>
    <w:rsid w:val="003C1CF6"/>
    <w:rsid w:val="003C5F6F"/>
    <w:rsid w:val="003E1D92"/>
    <w:rsid w:val="00402EE2"/>
    <w:rsid w:val="00420705"/>
    <w:rsid w:val="004448F0"/>
    <w:rsid w:val="00462BA7"/>
    <w:rsid w:val="00464D08"/>
    <w:rsid w:val="00466D4B"/>
    <w:rsid w:val="004676E2"/>
    <w:rsid w:val="004848E5"/>
    <w:rsid w:val="00486937"/>
    <w:rsid w:val="0048737C"/>
    <w:rsid w:val="004927E2"/>
    <w:rsid w:val="00495552"/>
    <w:rsid w:val="004B7731"/>
    <w:rsid w:val="004B7C22"/>
    <w:rsid w:val="00511A08"/>
    <w:rsid w:val="0054189D"/>
    <w:rsid w:val="0054405A"/>
    <w:rsid w:val="00552C56"/>
    <w:rsid w:val="00564E8D"/>
    <w:rsid w:val="00566A29"/>
    <w:rsid w:val="00570454"/>
    <w:rsid w:val="00576EA6"/>
    <w:rsid w:val="00581F16"/>
    <w:rsid w:val="00584830"/>
    <w:rsid w:val="005854BB"/>
    <w:rsid w:val="00592F7A"/>
    <w:rsid w:val="005B097F"/>
    <w:rsid w:val="005B0E10"/>
    <w:rsid w:val="005B40D2"/>
    <w:rsid w:val="005C6640"/>
    <w:rsid w:val="005D2C0D"/>
    <w:rsid w:val="005F09C1"/>
    <w:rsid w:val="005F2892"/>
    <w:rsid w:val="005F77DD"/>
    <w:rsid w:val="00611F5C"/>
    <w:rsid w:val="00630540"/>
    <w:rsid w:val="00651A76"/>
    <w:rsid w:val="006A63F5"/>
    <w:rsid w:val="006B3697"/>
    <w:rsid w:val="00706347"/>
    <w:rsid w:val="007222F0"/>
    <w:rsid w:val="007604D5"/>
    <w:rsid w:val="00781E17"/>
    <w:rsid w:val="00791329"/>
    <w:rsid w:val="00793199"/>
    <w:rsid w:val="007A6AA7"/>
    <w:rsid w:val="007D7404"/>
    <w:rsid w:val="007D7D87"/>
    <w:rsid w:val="007E2425"/>
    <w:rsid w:val="007E6BE5"/>
    <w:rsid w:val="00800D02"/>
    <w:rsid w:val="00812AC2"/>
    <w:rsid w:val="00826B4B"/>
    <w:rsid w:val="00830311"/>
    <w:rsid w:val="00844470"/>
    <w:rsid w:val="0088372E"/>
    <w:rsid w:val="008E0A1B"/>
    <w:rsid w:val="008F6D3D"/>
    <w:rsid w:val="00906D6A"/>
    <w:rsid w:val="00917E24"/>
    <w:rsid w:val="00945D2E"/>
    <w:rsid w:val="0099304E"/>
    <w:rsid w:val="00994814"/>
    <w:rsid w:val="009A3E2F"/>
    <w:rsid w:val="009C7DB3"/>
    <w:rsid w:val="00A02605"/>
    <w:rsid w:val="00A37511"/>
    <w:rsid w:val="00A41E09"/>
    <w:rsid w:val="00A56560"/>
    <w:rsid w:val="00A608A1"/>
    <w:rsid w:val="00A848C8"/>
    <w:rsid w:val="00A95BB5"/>
    <w:rsid w:val="00AA7EB5"/>
    <w:rsid w:val="00AE1665"/>
    <w:rsid w:val="00B02D78"/>
    <w:rsid w:val="00B16EBC"/>
    <w:rsid w:val="00B32750"/>
    <w:rsid w:val="00B341E5"/>
    <w:rsid w:val="00B370DA"/>
    <w:rsid w:val="00B41095"/>
    <w:rsid w:val="00B43D89"/>
    <w:rsid w:val="00B97D64"/>
    <w:rsid w:val="00BC7FD7"/>
    <w:rsid w:val="00BE5606"/>
    <w:rsid w:val="00C134F8"/>
    <w:rsid w:val="00C16713"/>
    <w:rsid w:val="00C312C8"/>
    <w:rsid w:val="00C35292"/>
    <w:rsid w:val="00C4088F"/>
    <w:rsid w:val="00C429E5"/>
    <w:rsid w:val="00C53032"/>
    <w:rsid w:val="00C76466"/>
    <w:rsid w:val="00CA0FEE"/>
    <w:rsid w:val="00CB3F98"/>
    <w:rsid w:val="00CB46F3"/>
    <w:rsid w:val="00CB4A3E"/>
    <w:rsid w:val="00CC40DA"/>
    <w:rsid w:val="00CC66D6"/>
    <w:rsid w:val="00CF002D"/>
    <w:rsid w:val="00D02343"/>
    <w:rsid w:val="00D17241"/>
    <w:rsid w:val="00D21B66"/>
    <w:rsid w:val="00D31B11"/>
    <w:rsid w:val="00D964DF"/>
    <w:rsid w:val="00DB3E72"/>
    <w:rsid w:val="00DC46A6"/>
    <w:rsid w:val="00DD3193"/>
    <w:rsid w:val="00DD76CD"/>
    <w:rsid w:val="00DE4E10"/>
    <w:rsid w:val="00DE54B0"/>
    <w:rsid w:val="00E02E51"/>
    <w:rsid w:val="00E2651C"/>
    <w:rsid w:val="00E27BB6"/>
    <w:rsid w:val="00E562B3"/>
    <w:rsid w:val="00E60CB6"/>
    <w:rsid w:val="00E62133"/>
    <w:rsid w:val="00E75B85"/>
    <w:rsid w:val="00E87871"/>
    <w:rsid w:val="00E93B7F"/>
    <w:rsid w:val="00E94A52"/>
    <w:rsid w:val="00E9665A"/>
    <w:rsid w:val="00EC5B61"/>
    <w:rsid w:val="00ED0BDC"/>
    <w:rsid w:val="00ED11AD"/>
    <w:rsid w:val="00F10159"/>
    <w:rsid w:val="00F13E61"/>
    <w:rsid w:val="00F3161F"/>
    <w:rsid w:val="00F33189"/>
    <w:rsid w:val="00F516AD"/>
    <w:rsid w:val="00F76BC5"/>
    <w:rsid w:val="00F8027B"/>
    <w:rsid w:val="00F82A8B"/>
    <w:rsid w:val="00F85692"/>
    <w:rsid w:val="00FA55CA"/>
    <w:rsid w:val="00FB6482"/>
    <w:rsid w:val="00FD4278"/>
    <w:rsid w:val="2E6E1A42"/>
    <w:rsid w:val="33422260"/>
    <w:rsid w:val="384E377F"/>
    <w:rsid w:val="3F0D1818"/>
    <w:rsid w:val="430B2B04"/>
    <w:rsid w:val="48FF56BB"/>
    <w:rsid w:val="504E6280"/>
    <w:rsid w:val="52F95885"/>
    <w:rsid w:val="54D814C8"/>
    <w:rsid w:val="56146D04"/>
    <w:rsid w:val="67203261"/>
    <w:rsid w:val="6A3A34DA"/>
    <w:rsid w:val="6D523CD3"/>
    <w:rsid w:val="745273DE"/>
    <w:rsid w:val="7BE86F96"/>
    <w:rsid w:val="7F79348F"/>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5"/>
    <w:semiHidden/>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qFormat/>
    <w:uiPriority w:val="0"/>
    <w:pPr>
      <w:snapToGrid w:val="0"/>
      <w:jc w:val="left"/>
    </w:pPr>
    <w:rPr>
      <w:sz w:val="18"/>
      <w:szCs w:val="18"/>
    </w:rPr>
  </w:style>
  <w:style w:type="character" w:styleId="7">
    <w:name w:val="Strong"/>
    <w:basedOn w:val="6"/>
    <w:qFormat/>
    <w:locked/>
    <w:uiPriority w:val="0"/>
    <w:rPr>
      <w:b/>
      <w:bCs/>
    </w:rPr>
  </w:style>
  <w:style w:type="character" w:styleId="8">
    <w:name w:val="page number"/>
    <w:basedOn w:val="6"/>
    <w:qFormat/>
    <w:uiPriority w:val="0"/>
  </w:style>
  <w:style w:type="character" w:styleId="9">
    <w:name w:val="footnote reference"/>
    <w:basedOn w:val="6"/>
    <w:semiHidden/>
    <w:qFormat/>
    <w:uiPriority w:val="0"/>
    <w:rPr>
      <w:vertAlign w:val="superscript"/>
    </w:rPr>
  </w:style>
  <w:style w:type="table" w:styleId="11">
    <w:name w:val="Table Grid"/>
    <w:basedOn w:val="1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列出段落1"/>
    <w:basedOn w:val="1"/>
    <w:qFormat/>
    <w:uiPriority w:val="99"/>
    <w:pPr>
      <w:ind w:firstLine="420" w:firstLineChars="200"/>
    </w:pPr>
  </w:style>
  <w:style w:type="character" w:customStyle="1" w:styleId="13">
    <w:name w:val="批注框文本 Char"/>
    <w:basedOn w:val="6"/>
    <w:link w:val="2"/>
    <w:semiHidden/>
    <w:qFormat/>
    <w:locked/>
    <w:uiPriority w:val="99"/>
    <w:rPr>
      <w:rFonts w:eastAsia="仿宋_GB2312" w:cs="Times New Roman"/>
      <w:sz w:val="18"/>
      <w:szCs w:val="18"/>
    </w:rPr>
  </w:style>
  <w:style w:type="character" w:customStyle="1" w:styleId="14">
    <w:name w:val="页眉 Char"/>
    <w:basedOn w:val="6"/>
    <w:link w:val="4"/>
    <w:semiHidden/>
    <w:qFormat/>
    <w:locked/>
    <w:uiPriority w:val="99"/>
    <w:rPr>
      <w:rFonts w:eastAsia="仿宋_GB2312" w:cs="Times New Roman"/>
      <w:sz w:val="18"/>
      <w:szCs w:val="18"/>
    </w:rPr>
  </w:style>
  <w:style w:type="character" w:customStyle="1" w:styleId="15">
    <w:name w:val="页脚 Char"/>
    <w:basedOn w:val="6"/>
    <w:link w:val="3"/>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11090</Words>
  <Characters>2203</Characters>
  <Lines>18</Lines>
  <Paragraphs>26</Paragraphs>
  <TotalTime>0</TotalTime>
  <ScaleCrop>false</ScaleCrop>
  <LinksUpToDate>false</LinksUpToDate>
  <CharactersWithSpaces>13267</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2017-04-14T02:37:00Z</dcterms:created>
  <dc:creator>lenovo</dc:creator>
  <cp:lastModifiedBy>guest</cp:lastModifiedBy>
  <cp:lastPrinted>2017-04-17T03:01:00Z</cp:lastPrinted>
  <dcterms:modified xsi:type="dcterms:W3CDTF">2019-02-25T09:37:42Z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