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3" w:firstLineChars="62"/>
        <w:jc w:val="center"/>
        <w:rPr>
          <w:rFonts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饶阳县财政局</w:t>
      </w:r>
    </w:p>
    <w:p>
      <w:pPr>
        <w:ind w:firstLine="223" w:firstLineChars="62"/>
        <w:jc w:val="center"/>
        <w:rPr>
          <w:rFonts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关于2017年政府</w:t>
      </w:r>
      <w:r>
        <w:rPr>
          <w:rFonts w:hint="eastAsia" w:asciiTheme="majorEastAsia" w:hAnsiTheme="majorEastAsia" w:eastAsiaTheme="majorEastAsia"/>
          <w:sz w:val="36"/>
          <w:lang w:eastAsia="zh-CN"/>
        </w:rPr>
        <w:t>决算</w:t>
      </w:r>
      <w:r>
        <w:rPr>
          <w:rFonts w:hint="eastAsia" w:asciiTheme="majorEastAsia" w:hAnsiTheme="majorEastAsia" w:eastAsiaTheme="majorEastAsia"/>
          <w:sz w:val="36"/>
        </w:rPr>
        <w:t>公开有关事项的说明</w:t>
      </w:r>
    </w:p>
    <w:p>
      <w:pPr>
        <w:ind w:firstLine="223" w:firstLineChars="62"/>
        <w:jc w:val="center"/>
        <w:rPr>
          <w:rFonts w:ascii="方正小标宋简体" w:eastAsia="方正小标宋简体"/>
          <w:sz w:val="36"/>
        </w:rPr>
      </w:pP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一、县级地方政府债券情况</w:t>
      </w:r>
    </w:p>
    <w:p>
      <w:pPr>
        <w:ind w:firstLine="640"/>
        <w:rPr>
          <w:rFonts w:hint="eastAsia" w:ascii="仿宋_GB2312"/>
        </w:rPr>
      </w:pPr>
      <w:r>
        <w:rPr>
          <w:rFonts w:hint="eastAsia" w:ascii="仿宋_GB2312"/>
        </w:rPr>
        <w:t>2017年无政府债券还本资金，安排地方政府债券付息资金895万元，其中一般公共预算安排付息650万元，政府性基金预算安排付息245万元。需要说明的是，根据《预算法》有关规定，2018年拟使用地方政府债券收支暂未列入年初预算，待省财政厅下达2018年我县地方政府债券限额后，再编制县级预算调整方案，提请先人大常委会批准后再按规定要求公开。</w:t>
      </w:r>
    </w:p>
    <w:p>
      <w:pPr>
        <w:ind w:firstLine="640"/>
        <w:rPr>
          <w:rFonts w:ascii="仿宋_GB2312"/>
        </w:rPr>
      </w:pPr>
      <w:bookmarkStart w:id="0" w:name="_GoBack"/>
      <w:r>
        <w:rPr>
          <w:rFonts w:hint="eastAsia" w:ascii="仿宋_GB2312"/>
          <w:b/>
          <w:bCs/>
        </w:rPr>
        <w:t>举借债务</w:t>
      </w:r>
      <w:r>
        <w:rPr>
          <w:rFonts w:ascii="仿宋_GB2312"/>
          <w:b/>
          <w:bCs/>
        </w:rPr>
        <w:t>情况说明</w:t>
      </w:r>
      <w:r>
        <w:rPr>
          <w:rFonts w:hint="eastAsia" w:ascii="仿宋_GB2312"/>
          <w:b/>
          <w:bCs/>
        </w:rPr>
        <w:t>：</w:t>
      </w:r>
      <w:bookmarkEnd w:id="0"/>
      <w:r>
        <w:rPr>
          <w:rFonts w:hint="eastAsia" w:ascii="仿宋_GB2312"/>
        </w:rPr>
        <w:t xml:space="preserve"> 2017年我县政府债务限额为</w:t>
      </w:r>
      <w:r>
        <w:rPr>
          <w:rFonts w:ascii="仿宋_GB2312"/>
        </w:rPr>
        <w:t>72271</w:t>
      </w:r>
      <w:r>
        <w:rPr>
          <w:rFonts w:hint="eastAsia" w:ascii="仿宋_GB2312"/>
        </w:rPr>
        <w:t>万元，其中一般政府债务</w:t>
      </w:r>
      <w:r>
        <w:rPr>
          <w:rFonts w:ascii="仿宋_GB2312"/>
        </w:rPr>
        <w:t>限额</w:t>
      </w:r>
      <w:r>
        <w:rPr>
          <w:rFonts w:hint="eastAsia" w:ascii="仿宋_GB2312"/>
        </w:rPr>
        <w:t>为35299万元</w:t>
      </w:r>
      <w:r>
        <w:rPr>
          <w:rFonts w:ascii="仿宋_GB2312"/>
        </w:rPr>
        <w:t>，</w:t>
      </w:r>
      <w:r>
        <w:rPr>
          <w:rFonts w:hint="eastAsia" w:ascii="仿宋_GB2312"/>
        </w:rPr>
        <w:t>专项政府</w:t>
      </w:r>
      <w:r>
        <w:rPr>
          <w:rFonts w:ascii="仿宋_GB2312"/>
        </w:rPr>
        <w:t>债务限额</w:t>
      </w:r>
      <w:r>
        <w:rPr>
          <w:rFonts w:hint="eastAsia" w:ascii="仿宋_GB2312"/>
        </w:rPr>
        <w:t>为36972万元</w:t>
      </w:r>
      <w:r>
        <w:rPr>
          <w:rFonts w:ascii="仿宋_GB2312"/>
        </w:rPr>
        <w:t>。</w:t>
      </w:r>
      <w:r>
        <w:rPr>
          <w:rFonts w:hint="eastAsia" w:ascii="仿宋_GB2312"/>
        </w:rPr>
        <w:t>2017年</w:t>
      </w:r>
      <w:r>
        <w:rPr>
          <w:rFonts w:ascii="仿宋_GB2312"/>
        </w:rPr>
        <w:t>末我县</w:t>
      </w:r>
      <w:r>
        <w:rPr>
          <w:rFonts w:hint="eastAsia" w:ascii="仿宋_GB2312"/>
        </w:rPr>
        <w:t>政府</w:t>
      </w:r>
      <w:r>
        <w:rPr>
          <w:rFonts w:ascii="仿宋_GB2312"/>
        </w:rPr>
        <w:t>债务余额</w:t>
      </w:r>
      <w:r>
        <w:rPr>
          <w:rFonts w:hint="eastAsia" w:ascii="仿宋_GB2312"/>
        </w:rPr>
        <w:t>为59283万元</w:t>
      </w:r>
      <w:r>
        <w:rPr>
          <w:rFonts w:ascii="仿宋_GB2312"/>
        </w:rPr>
        <w:t>，</w:t>
      </w:r>
      <w:r>
        <w:rPr>
          <w:rFonts w:hint="eastAsia" w:ascii="仿宋_GB2312"/>
        </w:rPr>
        <w:t>其中</w:t>
      </w:r>
      <w:r>
        <w:rPr>
          <w:rFonts w:ascii="仿宋_GB2312"/>
        </w:rPr>
        <w:t>一般</w:t>
      </w:r>
      <w:r>
        <w:rPr>
          <w:rFonts w:hint="eastAsia" w:ascii="仿宋_GB2312"/>
        </w:rPr>
        <w:t>政府</w:t>
      </w:r>
      <w:r>
        <w:rPr>
          <w:rFonts w:ascii="仿宋_GB2312"/>
        </w:rPr>
        <w:t>债务余额为</w:t>
      </w:r>
      <w:r>
        <w:rPr>
          <w:rFonts w:hint="eastAsia" w:ascii="仿宋_GB2312"/>
        </w:rPr>
        <w:t>28468万元</w:t>
      </w:r>
      <w:r>
        <w:rPr>
          <w:rFonts w:ascii="仿宋_GB2312"/>
        </w:rPr>
        <w:t>，</w:t>
      </w:r>
      <w:r>
        <w:rPr>
          <w:rFonts w:hint="eastAsia" w:ascii="仿宋_GB2312"/>
        </w:rPr>
        <w:t>专项</w:t>
      </w:r>
      <w:r>
        <w:rPr>
          <w:rFonts w:ascii="仿宋_GB2312"/>
        </w:rPr>
        <w:t>政府债务余额为</w:t>
      </w:r>
      <w:r>
        <w:rPr>
          <w:rFonts w:hint="eastAsia" w:ascii="仿宋_GB2312"/>
        </w:rPr>
        <w:t>30815万元，</w:t>
      </w:r>
      <w:r>
        <w:rPr>
          <w:rFonts w:hint="eastAsia" w:ascii="仿宋_GB2312"/>
          <w:szCs w:val="32"/>
        </w:rPr>
        <w:t>均控制在省厅下达的政府限额内。2017年，</w:t>
      </w:r>
      <w:r>
        <w:rPr>
          <w:rFonts w:ascii="仿宋_GB2312"/>
          <w:szCs w:val="32"/>
        </w:rPr>
        <w:t>共安排偿债支出4968</w:t>
      </w:r>
      <w:r>
        <w:rPr>
          <w:rFonts w:hint="eastAsia" w:ascii="仿宋_GB2312"/>
          <w:szCs w:val="32"/>
        </w:rPr>
        <w:t>万元</w:t>
      </w:r>
      <w:r>
        <w:rPr>
          <w:rFonts w:ascii="仿宋_GB2312"/>
          <w:szCs w:val="32"/>
        </w:rPr>
        <w:t>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二、财政转移支付安排情况</w:t>
      </w:r>
    </w:p>
    <w:p>
      <w:pPr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2017年，上级转移支付收入111019万元，其中：一般性转移支付收入77668万元，专项转移支付33351万元。具体情况如下：</w:t>
      </w:r>
    </w:p>
    <w:p>
      <w:pPr>
        <w:ind w:firstLine="643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（一）一般性转移支付77668万元。</w:t>
      </w:r>
      <w:r>
        <w:rPr>
          <w:rFonts w:hint="eastAsia" w:ascii="仿宋_GB2312"/>
          <w:szCs w:val="32"/>
        </w:rPr>
        <w:t>其中：体制补助收入275万元，均衡性转移支付收入31702万元，革命老区转移支付收入510万元，县级基本财力保障机制奖补资金收入12015万元，结算补助收入2569万元，成品油价格和税费改革转移支付补助收入629万元，基层公检法司转移支付收入892万元，城乡义务教育转移支付收入1796万元，基本养老金转移支付收入4252万元，城乡居民医疗保险转移支付收入6391万元，农村综合改革转移支付收入708万元，产粮（油）大县奖励资金收入</w:t>
      </w:r>
      <w:r>
        <w:rPr>
          <w:rFonts w:hint="eastAsia" w:ascii="仿宋_GB2312"/>
        </w:rPr>
        <w:t>1572</w:t>
      </w:r>
      <w:r>
        <w:rPr>
          <w:rFonts w:hint="eastAsia" w:ascii="仿宋_GB2312"/>
          <w:szCs w:val="32"/>
        </w:rPr>
        <w:t>万元，贫困地区转移支付收入4019万元，重点生态功能区转移支付收入50万元，固定数额补助收入8758万元，其他一般性转移支付收入1530万元。</w:t>
      </w:r>
    </w:p>
    <w:p>
      <w:pPr>
        <w:ind w:firstLine="643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（二）专项转移支付33351万元。</w:t>
      </w:r>
      <w:r>
        <w:rPr>
          <w:rFonts w:hint="eastAsia" w:ascii="仿宋_GB2312"/>
          <w:szCs w:val="32"/>
        </w:rPr>
        <w:t>其中：公共安全23万元，教育1760万元，科学技术50万元，文化体育与传媒387万元，社会保障和就业7378万元，医疗卫生与计划生育2024万元，节能环保1458万元，城乡社区300万元，农林水12742万元，交通运输3299万元，资源勘探信息等1万元，商业服务业等1553万元。国土海洋气象等189万元，住房保障2187万元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三、绩效预算工作开展情况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认真贯彻落实十九大“建立全面规范透明、标准科学、约束有力的预算制度，全面实施绩效管理”的改革部署，努力构建“预算编制有目标、预算执行有监控、预算完成有评价、评价结果有应用、绩效缺失有问责”的全过程绩效管理新机制，进一步提升全县绩效预算管理科学化、规范化。</w:t>
      </w:r>
    </w:p>
    <w:p>
      <w:pPr>
        <w:ind w:firstLine="643"/>
        <w:rPr>
          <w:rFonts w:ascii="仿宋_GB2312"/>
        </w:rPr>
      </w:pPr>
      <w:r>
        <w:rPr>
          <w:rFonts w:hint="eastAsia" w:ascii="仿宋_GB2312"/>
          <w:b/>
        </w:rPr>
        <w:t>（一）全面实施绩效目标管理</w:t>
      </w:r>
      <w:r>
        <w:rPr>
          <w:rFonts w:hint="eastAsia" w:ascii="仿宋_GB2312"/>
        </w:rPr>
        <w:t>。一是健全绩效预算管理结构。向各乡镇区及县直预算部门提供由省厅梳理的 “部门职责—工作活动”参考目录，部署全部预算部门结合自身实际，对职责活动目录进行全面修订完善。预算部门对职责活动目录进行了完善调整。二是提高预算项目绩效目标指标设置质量。规范我县预算项目绩效指标设置；所有项目全部入库，并将目标指标审核作为安排预算的前提。共计审核完善764个预算项目的绩效目标指标信息，涉及财政资金120591万元。</w:t>
      </w:r>
    </w:p>
    <w:p>
      <w:pPr>
        <w:ind w:firstLine="643"/>
        <w:rPr>
          <w:rFonts w:ascii="仿宋_GB2312"/>
        </w:rPr>
      </w:pPr>
      <w:r>
        <w:rPr>
          <w:rFonts w:hint="eastAsia" w:ascii="仿宋_GB2312"/>
          <w:b/>
        </w:rPr>
        <w:t>（二）加强县级部门绩效评价工作</w:t>
      </w:r>
      <w:r>
        <w:rPr>
          <w:rFonts w:hint="eastAsia" w:ascii="仿宋_GB2312"/>
        </w:rPr>
        <w:t>。以绩效评价为抓手，推动绩效预算管理改革。一是财政重点评价，县财政对食品药品安全监管工作活动及职工养老保险管理工作2个重点项目进行绩效评价，评价财政资金5612万元。二是优化部门绩效自评方式，全部预算部门均按财政部门制定的统一模板完成2017年项目绩效自评工作，并向财政报送了本部门综合绩效评价报告，500万元以上的重大项目逐项向财政部门报送了绩效自评报告，提升了绩效评价的针对性和实效性。三是绩效评价结果应用，在要求预算部门对绩效评价中发现的问题进行整改的同时，部门的绩效自评报告及财政重点绩效评价报告均作为2018年部门预算安排的参考依据。</w:t>
      </w:r>
    </w:p>
    <w:p>
      <w:pPr>
        <w:ind w:firstLine="643"/>
        <w:rPr>
          <w:rFonts w:hint="eastAsia" w:ascii="仿宋" w:hAnsi="仿宋"/>
          <w:color w:val="000000"/>
          <w:szCs w:val="32"/>
        </w:rPr>
      </w:pPr>
      <w:r>
        <w:rPr>
          <w:rFonts w:hint="eastAsia" w:ascii="仿宋_GB2312"/>
          <w:b/>
        </w:rPr>
        <w:t>（三）加强培训。</w:t>
      </w:r>
      <w:r>
        <w:rPr>
          <w:rFonts w:ascii="仿宋" w:hAnsi="仿宋"/>
          <w:color w:val="000000"/>
          <w:szCs w:val="32"/>
        </w:rPr>
        <w:t>为更好的推进我县绩效预算改革</w:t>
      </w:r>
      <w:r>
        <w:rPr>
          <w:rFonts w:hint="eastAsia" w:ascii="仿宋" w:hAnsi="仿宋"/>
          <w:color w:val="000000"/>
          <w:szCs w:val="32"/>
        </w:rPr>
        <w:t>，</w:t>
      </w:r>
      <w:r>
        <w:rPr>
          <w:rFonts w:ascii="仿宋" w:hAnsi="仿宋"/>
          <w:color w:val="000000"/>
          <w:szCs w:val="32"/>
        </w:rPr>
        <w:t>规范预算管理，</w:t>
      </w:r>
      <w:r>
        <w:rPr>
          <w:rFonts w:hint="eastAsia" w:ascii="仿宋" w:hAnsi="仿宋"/>
          <w:color w:val="000000"/>
          <w:szCs w:val="32"/>
        </w:rPr>
        <w:t>我县</w:t>
      </w:r>
      <w:r>
        <w:rPr>
          <w:rFonts w:ascii="仿宋" w:hAnsi="仿宋"/>
          <w:color w:val="000000"/>
          <w:szCs w:val="32"/>
        </w:rPr>
        <w:t>多次组织绩效预算编制的培训工作。</w:t>
      </w:r>
      <w:r>
        <w:rPr>
          <w:rFonts w:hint="eastAsia" w:ascii="仿宋" w:hAnsi="仿宋"/>
          <w:color w:val="000000"/>
          <w:szCs w:val="32"/>
        </w:rPr>
        <w:t>一是强化自身业务培训，一方面由预算股业务骨干对其他业务人员进行培训，另一方面组织人员参加市局预算编制会议，对绩效预算编制工作进行再培训，确保自身业务人员熟练掌握绩效预算编制工作。</w:t>
      </w:r>
      <w:r>
        <w:rPr>
          <w:rFonts w:ascii="仿宋" w:hAnsi="仿宋"/>
          <w:color w:val="000000"/>
          <w:szCs w:val="32"/>
        </w:rPr>
        <w:t>二是加强对预算部门的业务培训，在抓好自身业务培训的同时，进一步明确工作职责，将业务人员划分为四个小组，对单位实现包片管理，手把手服务单位，确保工作效果。</w:t>
      </w:r>
    </w:p>
    <w:p>
      <w:pPr>
        <w:ind w:firstLine="707" w:firstLineChars="221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四、政府采购情况</w:t>
      </w:r>
    </w:p>
    <w:p>
      <w:pPr>
        <w:ind w:firstLine="707" w:firstLineChars="221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/>
          <w:szCs w:val="32"/>
        </w:rPr>
        <w:t>2017年政府采购预算金额11076.64万元，其中：货物类</w:t>
      </w:r>
      <w:r>
        <w:rPr>
          <w:rFonts w:hint="eastAsia" w:ascii="仿宋" w:hAnsi="仿宋" w:eastAsia="仿宋" w:cs="宋体"/>
          <w:kern w:val="0"/>
          <w:szCs w:val="32"/>
        </w:rPr>
        <w:t>5295.64万元、工程类3327万元、服务类2454万元，资金来源全部为一般公共预算资金，无政府性基金及其他资金安排。2017年一般公共预算资金</w:t>
      </w:r>
      <w:r>
        <w:rPr>
          <w:rFonts w:hint="eastAsia" w:ascii="仿宋" w:hAnsi="仿宋" w:eastAsia="仿宋"/>
          <w:szCs w:val="32"/>
        </w:rPr>
        <w:t>实际采购金额10670.43万元，其中：货物类5095.07</w:t>
      </w:r>
      <w:r>
        <w:rPr>
          <w:rFonts w:hint="eastAsia" w:ascii="仿宋" w:hAnsi="仿宋" w:eastAsia="仿宋" w:cs="宋体"/>
          <w:kern w:val="0"/>
          <w:szCs w:val="32"/>
        </w:rPr>
        <w:t>万元、工程类3207.41万元、服务类2367.95万元。</w:t>
      </w:r>
    </w:p>
    <w:p>
      <w:pPr>
        <w:ind w:firstLine="707" w:firstLineChars="221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2017年县级政府采购限额标准为：单项或批量采购预算金额1-6月份达到10万元（不含）以下的、7-12月份达到20万元（不含）以下的，不需办理政府采购手续；公开招标限额标准100万元。</w:t>
      </w:r>
    </w:p>
    <w:p>
      <w:pPr>
        <w:ind w:firstLine="640"/>
        <w:rPr>
          <w:rFonts w:ascii="仿宋_GB231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F45"/>
    <w:rsid w:val="00041CE9"/>
    <w:rsid w:val="00044FCE"/>
    <w:rsid w:val="00062CE9"/>
    <w:rsid w:val="000826C4"/>
    <w:rsid w:val="000B7CF5"/>
    <w:rsid w:val="000C1916"/>
    <w:rsid w:val="00121CDC"/>
    <w:rsid w:val="00124042"/>
    <w:rsid w:val="00175293"/>
    <w:rsid w:val="00193F6E"/>
    <w:rsid w:val="00196078"/>
    <w:rsid w:val="001C21F5"/>
    <w:rsid w:val="001D6358"/>
    <w:rsid w:val="0020316E"/>
    <w:rsid w:val="002152DA"/>
    <w:rsid w:val="002411CB"/>
    <w:rsid w:val="002578CE"/>
    <w:rsid w:val="002C1542"/>
    <w:rsid w:val="002F4E7C"/>
    <w:rsid w:val="00341281"/>
    <w:rsid w:val="003904ED"/>
    <w:rsid w:val="00396D2C"/>
    <w:rsid w:val="003F6DD1"/>
    <w:rsid w:val="004C02AD"/>
    <w:rsid w:val="004C24E5"/>
    <w:rsid w:val="004F4987"/>
    <w:rsid w:val="004F7EF8"/>
    <w:rsid w:val="00500FD0"/>
    <w:rsid w:val="00504AA8"/>
    <w:rsid w:val="005C62C6"/>
    <w:rsid w:val="005F365A"/>
    <w:rsid w:val="00610639"/>
    <w:rsid w:val="006428FC"/>
    <w:rsid w:val="00645883"/>
    <w:rsid w:val="00663044"/>
    <w:rsid w:val="00686ABD"/>
    <w:rsid w:val="006B2DBF"/>
    <w:rsid w:val="006D65F3"/>
    <w:rsid w:val="00707C86"/>
    <w:rsid w:val="00761CE8"/>
    <w:rsid w:val="007704DE"/>
    <w:rsid w:val="00782C20"/>
    <w:rsid w:val="007C19A9"/>
    <w:rsid w:val="00842AAB"/>
    <w:rsid w:val="008469E0"/>
    <w:rsid w:val="00862EFB"/>
    <w:rsid w:val="008F6016"/>
    <w:rsid w:val="00933D99"/>
    <w:rsid w:val="00972878"/>
    <w:rsid w:val="00987D3F"/>
    <w:rsid w:val="0099245B"/>
    <w:rsid w:val="00992CC0"/>
    <w:rsid w:val="00993105"/>
    <w:rsid w:val="009A2A15"/>
    <w:rsid w:val="009E7DE3"/>
    <w:rsid w:val="00A20C5D"/>
    <w:rsid w:val="00A864D2"/>
    <w:rsid w:val="00B44108"/>
    <w:rsid w:val="00B56D25"/>
    <w:rsid w:val="00BA004C"/>
    <w:rsid w:val="00BE6336"/>
    <w:rsid w:val="00C04F97"/>
    <w:rsid w:val="00C33634"/>
    <w:rsid w:val="00C53C84"/>
    <w:rsid w:val="00D32A6F"/>
    <w:rsid w:val="00D579C0"/>
    <w:rsid w:val="00D96829"/>
    <w:rsid w:val="00DA4C48"/>
    <w:rsid w:val="00DB7F45"/>
    <w:rsid w:val="00E406E7"/>
    <w:rsid w:val="00E409A6"/>
    <w:rsid w:val="00EA77AA"/>
    <w:rsid w:val="00ED15A8"/>
    <w:rsid w:val="00F62609"/>
    <w:rsid w:val="00FE6275"/>
    <w:rsid w:val="0BAA02B1"/>
    <w:rsid w:val="18851BAA"/>
    <w:rsid w:val="703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36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eastAsia="仿宋_GB231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284</Words>
  <Characters>1625</Characters>
  <Lines>13</Lines>
  <Paragraphs>3</Paragraphs>
  <TotalTime>0</TotalTime>
  <ScaleCrop>false</ScaleCrop>
  <LinksUpToDate>false</LinksUpToDate>
  <CharactersWithSpaces>1906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2018-12-29T02:31:00Z</dcterms:created>
  <dc:creator>Microsoft</dc:creator>
  <cp:lastModifiedBy>Administrator</cp:lastModifiedBy>
  <cp:lastPrinted>2018-02-28T08:53:00Z</cp:lastPrinted>
  <dcterms:modified xsi:type="dcterms:W3CDTF">2019-01-28T05:37:41Z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